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42E3B" w14:textId="19DE4B3C" w:rsidR="002F5A93" w:rsidRPr="0024492B" w:rsidRDefault="00C71DA7" w:rsidP="002F5A93">
      <w:pPr>
        <w:pStyle w:val="Title"/>
        <w:rPr>
          <w:lang w:val="fr-CA"/>
        </w:rPr>
      </w:pPr>
      <w:r w:rsidRPr="0024492B">
        <w:rPr>
          <w:lang w:val="fr-CA"/>
        </w:rPr>
        <w:t>Thematic Findings from CCOG AGM Jurisdictional Reports / Constatations thématiques des rapports organisationnels/institutionnel de l’AGA du COCG</w:t>
      </w:r>
    </w:p>
    <w:p w14:paraId="08536C29" w14:textId="653B94BB" w:rsidR="002A3CC1" w:rsidRPr="00BB7C8D" w:rsidRDefault="00C71DA7" w:rsidP="00F612E5">
      <w:pPr>
        <w:jc w:val="both"/>
        <w:rPr>
          <w:rFonts w:asciiTheme="majorHAnsi" w:hAnsiTheme="majorHAnsi" w:cstheme="majorHAnsi"/>
          <w:b/>
          <w:bCs/>
          <w:highlight w:val="yellow"/>
        </w:rPr>
      </w:pPr>
      <w:r w:rsidRPr="00BB7C8D">
        <w:rPr>
          <w:rFonts w:asciiTheme="majorHAnsi" w:hAnsiTheme="majorHAnsi" w:cstheme="majorHAnsi"/>
          <w:b/>
          <w:bCs/>
          <w:highlight w:val="yellow"/>
        </w:rPr>
        <w:t>*****</w:t>
      </w:r>
    </w:p>
    <w:p w14:paraId="17F4FD1A" w14:textId="3293CE50" w:rsidR="003522E2" w:rsidRPr="00BB7C8D" w:rsidRDefault="00C71DA7" w:rsidP="5502CF07">
      <w:pPr>
        <w:jc w:val="both"/>
        <w:rPr>
          <w:rFonts w:asciiTheme="majorHAnsi" w:hAnsiTheme="majorHAnsi" w:cstheme="majorBidi"/>
          <w:highlight w:val="yellow"/>
        </w:rPr>
      </w:pPr>
      <w:r w:rsidRPr="00BB7C8D">
        <w:rPr>
          <w:rFonts w:asciiTheme="majorHAnsi" w:hAnsiTheme="majorHAnsi" w:cstheme="majorBidi"/>
          <w:b/>
          <w:bCs/>
          <w:highlight w:val="yellow"/>
        </w:rPr>
        <w:t>Notes for reviewers</w:t>
      </w:r>
      <w:r w:rsidRPr="00BB7C8D">
        <w:rPr>
          <w:rFonts w:asciiTheme="majorHAnsi" w:hAnsiTheme="majorHAnsi" w:cstheme="majorBidi"/>
          <w:highlight w:val="yellow"/>
        </w:rPr>
        <w:t xml:space="preserve">: </w:t>
      </w:r>
    </w:p>
    <w:p w14:paraId="69D7EA32" w14:textId="617973AE" w:rsidR="00517CB7" w:rsidRPr="00BB7C8D" w:rsidRDefault="00C71DA7" w:rsidP="00517CB7">
      <w:pPr>
        <w:jc w:val="both"/>
        <w:rPr>
          <w:rFonts w:asciiTheme="majorHAnsi" w:hAnsiTheme="majorHAnsi" w:cstheme="majorHAnsi"/>
          <w:highlight w:val="yellow"/>
        </w:rPr>
      </w:pPr>
      <w:r w:rsidRPr="00BB7C8D">
        <w:rPr>
          <w:rFonts w:asciiTheme="majorHAnsi" w:hAnsiTheme="majorHAnsi" w:cstheme="majorHAnsi"/>
          <w:highlight w:val="yellow"/>
        </w:rPr>
        <w:t>Background/context:</w:t>
      </w:r>
    </w:p>
    <w:p w14:paraId="0C4DFE8F" w14:textId="77777777" w:rsidR="007546CF" w:rsidRPr="00BB7C8D" w:rsidRDefault="00C71DA7" w:rsidP="003522E2">
      <w:pPr>
        <w:pStyle w:val="ListParagraph"/>
        <w:numPr>
          <w:ilvl w:val="0"/>
          <w:numId w:val="25"/>
        </w:numPr>
        <w:jc w:val="both"/>
        <w:rPr>
          <w:rFonts w:asciiTheme="majorHAnsi" w:hAnsiTheme="majorHAnsi" w:cstheme="majorHAnsi"/>
          <w:highlight w:val="yellow"/>
        </w:rPr>
      </w:pPr>
      <w:r w:rsidRPr="00BB7C8D">
        <w:rPr>
          <w:rFonts w:asciiTheme="majorHAnsi" w:hAnsiTheme="majorHAnsi" w:cstheme="majorHAnsi"/>
          <w:highlight w:val="yellow"/>
        </w:rPr>
        <w:t xml:space="preserve">This document was compiled from jurisdictional/organizational reports provided by members at the recent CCOG AGM, with the contents grouped by strategic pathways (SPs) of the UN-IGIF to help us identify themes/commonalities (e.g., governance, data, etc.). </w:t>
      </w:r>
    </w:p>
    <w:p w14:paraId="2EE4EB22" w14:textId="6584F15F" w:rsidR="00F612E5" w:rsidRPr="00BB7C8D" w:rsidRDefault="00C71DA7" w:rsidP="003522E2">
      <w:pPr>
        <w:pStyle w:val="ListParagraph"/>
        <w:numPr>
          <w:ilvl w:val="0"/>
          <w:numId w:val="25"/>
        </w:numPr>
        <w:jc w:val="both"/>
        <w:rPr>
          <w:rFonts w:asciiTheme="majorHAnsi" w:hAnsiTheme="majorHAnsi" w:cstheme="majorHAnsi"/>
          <w:highlight w:val="yellow"/>
        </w:rPr>
      </w:pPr>
      <w:r w:rsidRPr="00BB7C8D">
        <w:rPr>
          <w:rFonts w:asciiTheme="majorHAnsi" w:hAnsiTheme="majorHAnsi" w:cstheme="majorHAnsi"/>
          <w:highlight w:val="yellow"/>
        </w:rPr>
        <w:t>Names of specific companies/technologies were included where highlighted by jurisdictions/organizations; please confirm you are comfortable with this level of detail.</w:t>
      </w:r>
    </w:p>
    <w:p w14:paraId="12F85B9D" w14:textId="1B8DADA6" w:rsidR="00CE789F" w:rsidRPr="00BB7C8D" w:rsidRDefault="00C71DA7" w:rsidP="003522E2">
      <w:pPr>
        <w:pStyle w:val="ListParagraph"/>
        <w:numPr>
          <w:ilvl w:val="0"/>
          <w:numId w:val="25"/>
        </w:numPr>
        <w:jc w:val="both"/>
        <w:rPr>
          <w:rFonts w:asciiTheme="majorHAnsi" w:hAnsiTheme="majorHAnsi" w:cstheme="majorHAnsi"/>
          <w:highlight w:val="yellow"/>
        </w:rPr>
      </w:pPr>
      <w:r w:rsidRPr="00BB7C8D">
        <w:rPr>
          <w:rFonts w:asciiTheme="majorHAnsi" w:hAnsiTheme="majorHAnsi" w:cstheme="majorHAnsi"/>
          <w:highlight w:val="yellow"/>
        </w:rPr>
        <w:t>Contents will be included as one input to the UN-IGIF stocktake exercise, to represent FPT activities.</w:t>
      </w:r>
    </w:p>
    <w:p w14:paraId="5D563B43" w14:textId="7D28749B" w:rsidR="001917B6" w:rsidRPr="00BB7C8D" w:rsidRDefault="00C71DA7" w:rsidP="003522E2">
      <w:pPr>
        <w:pStyle w:val="ListParagraph"/>
        <w:numPr>
          <w:ilvl w:val="0"/>
          <w:numId w:val="25"/>
        </w:numPr>
        <w:jc w:val="both"/>
        <w:rPr>
          <w:rFonts w:asciiTheme="majorHAnsi" w:hAnsiTheme="majorHAnsi" w:cstheme="majorHAnsi"/>
          <w:highlight w:val="yellow"/>
        </w:rPr>
      </w:pPr>
      <w:r w:rsidRPr="00BB7C8D">
        <w:rPr>
          <w:rFonts w:asciiTheme="majorHAnsi" w:hAnsiTheme="majorHAnsi" w:cstheme="majorHAnsi"/>
          <w:highlight w:val="yellow"/>
        </w:rPr>
        <w:t>In the future, similar content may be included in the Canada Country Report to the UN-GGIM that will be framed by the UN-IGIF. At that point, we may request additional information to ensure a fulsome picture of FPT activities.</w:t>
      </w:r>
    </w:p>
    <w:p w14:paraId="5A77BF06" w14:textId="0C8946E1" w:rsidR="008D16F1" w:rsidRPr="0024492B" w:rsidRDefault="00C71DA7" w:rsidP="008D16F1">
      <w:pPr>
        <w:jc w:val="both"/>
        <w:rPr>
          <w:rFonts w:asciiTheme="majorHAnsi" w:hAnsiTheme="majorHAnsi" w:cstheme="majorHAnsi"/>
          <w:highlight w:val="yellow"/>
          <w:lang w:val="fr-CA"/>
        </w:rPr>
      </w:pPr>
      <w:r w:rsidRPr="0024492B">
        <w:rPr>
          <w:rFonts w:asciiTheme="majorHAnsi" w:hAnsiTheme="majorHAnsi" w:cstheme="majorHAnsi"/>
          <w:highlight w:val="yellow"/>
          <w:lang w:val="fr-CA"/>
        </w:rPr>
        <w:t>Current request:</w:t>
      </w:r>
    </w:p>
    <w:p w14:paraId="4A77B713" w14:textId="56F229CB" w:rsidR="008D16F1" w:rsidRPr="00BB7C8D" w:rsidRDefault="00C71DA7" w:rsidP="008D16F1">
      <w:pPr>
        <w:pStyle w:val="ListParagraph"/>
        <w:numPr>
          <w:ilvl w:val="0"/>
          <w:numId w:val="26"/>
        </w:numPr>
        <w:jc w:val="both"/>
        <w:rPr>
          <w:rFonts w:asciiTheme="majorHAnsi" w:hAnsiTheme="majorHAnsi" w:cstheme="majorHAnsi"/>
          <w:highlight w:val="yellow"/>
        </w:rPr>
      </w:pPr>
      <w:r w:rsidRPr="00BB7C8D">
        <w:rPr>
          <w:rFonts w:asciiTheme="majorHAnsi" w:hAnsiTheme="majorHAnsi" w:cstheme="majorHAnsi"/>
          <w:highlight w:val="yellow"/>
        </w:rPr>
        <w:t>We would kindly request that you validate the information provided below, to ensure it aligns with the jurisdictional report that you submitted for the AGM, and to ensure that linkages to the IGIF pathways are appropriate.</w:t>
      </w:r>
    </w:p>
    <w:p w14:paraId="09FF087A" w14:textId="7A4204AD" w:rsidR="0037167D" w:rsidRPr="00BB7C8D" w:rsidRDefault="00C71DA7" w:rsidP="5502CF07">
      <w:pPr>
        <w:pStyle w:val="ListParagraph"/>
        <w:numPr>
          <w:ilvl w:val="0"/>
          <w:numId w:val="26"/>
        </w:numPr>
        <w:jc w:val="both"/>
        <w:rPr>
          <w:rFonts w:asciiTheme="majorHAnsi" w:hAnsiTheme="majorHAnsi" w:cstheme="majorBidi"/>
          <w:highlight w:val="yellow"/>
        </w:rPr>
      </w:pPr>
      <w:r w:rsidRPr="00BB7C8D">
        <w:rPr>
          <w:rFonts w:asciiTheme="majorHAnsi" w:hAnsiTheme="majorHAnsi" w:cstheme="majorBidi"/>
          <w:highlight w:val="yellow"/>
        </w:rPr>
        <w:t>As this is a draft version only, we are providing the jurisdictional/organizational summaries in the language which they were provided. When the updated/final version is circulated, it will be made available in both official languages.</w:t>
      </w:r>
    </w:p>
    <w:p w14:paraId="4A770584" w14:textId="0536DBB8" w:rsidR="38C49ADD" w:rsidRPr="0024492B" w:rsidRDefault="00C71DA7" w:rsidP="5502CF07">
      <w:pPr>
        <w:jc w:val="both"/>
        <w:rPr>
          <w:rFonts w:asciiTheme="majorHAnsi" w:hAnsiTheme="majorHAnsi" w:cstheme="majorBidi"/>
          <w:b/>
          <w:bCs/>
          <w:highlight w:val="yellow"/>
          <w:lang w:val="fr-CA"/>
        </w:rPr>
      </w:pPr>
      <w:r w:rsidRPr="0024492B">
        <w:rPr>
          <w:rFonts w:asciiTheme="majorHAnsi" w:hAnsiTheme="majorHAnsi" w:cstheme="majorBidi"/>
          <w:b/>
          <w:bCs/>
          <w:highlight w:val="yellow"/>
          <w:lang w:val="fr-CA"/>
        </w:rPr>
        <w:t xml:space="preserve">Notes pour les réviseurs : </w:t>
      </w:r>
    </w:p>
    <w:p w14:paraId="10AAB53A" w14:textId="320CDD7D" w:rsidR="38C49ADD" w:rsidRPr="0024492B" w:rsidRDefault="00C71DA7" w:rsidP="5502CF07">
      <w:pPr>
        <w:jc w:val="both"/>
        <w:rPr>
          <w:rFonts w:asciiTheme="majorHAnsi" w:hAnsiTheme="majorHAnsi" w:cstheme="majorBidi"/>
          <w:highlight w:val="yellow"/>
          <w:lang w:val="fr-CA"/>
        </w:rPr>
      </w:pPr>
      <w:r w:rsidRPr="0024492B">
        <w:rPr>
          <w:rFonts w:asciiTheme="majorHAnsi" w:hAnsiTheme="majorHAnsi" w:cstheme="majorBidi"/>
          <w:highlight w:val="yellow"/>
          <w:lang w:val="fr-CA"/>
        </w:rPr>
        <w:t>Contexte :</w:t>
      </w:r>
    </w:p>
    <w:p w14:paraId="43FDAC2A" w14:textId="28ABBAB5" w:rsidR="38C49ADD" w:rsidRPr="0024492B" w:rsidRDefault="00C71DA7" w:rsidP="5502CF07">
      <w:pPr>
        <w:pStyle w:val="ListParagraph"/>
        <w:numPr>
          <w:ilvl w:val="0"/>
          <w:numId w:val="2"/>
        </w:numPr>
        <w:jc w:val="both"/>
        <w:rPr>
          <w:rFonts w:asciiTheme="majorHAnsi" w:hAnsiTheme="majorHAnsi" w:cstheme="majorBidi"/>
          <w:highlight w:val="yellow"/>
          <w:lang w:val="fr-CA"/>
        </w:rPr>
      </w:pPr>
      <w:r w:rsidRPr="0024492B">
        <w:rPr>
          <w:rFonts w:asciiTheme="majorHAnsi" w:hAnsiTheme="majorHAnsi" w:cstheme="majorBidi"/>
          <w:highlight w:val="yellow"/>
          <w:lang w:val="fr-CA"/>
        </w:rPr>
        <w:t xml:space="preserve">Ce document a été compilé à partir de rapports institutionnels/organisationnels fournis par les membres lors de la récente AGA du COCG, et son contenu est regroupé par voies </w:t>
      </w:r>
      <w:r w:rsidRPr="0024492B">
        <w:rPr>
          <w:rFonts w:asciiTheme="majorHAnsi" w:hAnsiTheme="majorHAnsi" w:cstheme="majorBidi"/>
          <w:highlight w:val="yellow"/>
          <w:lang w:val="fr-CA"/>
        </w:rPr>
        <w:lastRenderedPageBreak/>
        <w:t xml:space="preserve">stratégiques (VS) de l'UN-CIIG pour nous aider à identifier les thèmes/points communs (par exemple, gouvernance, données, etc.). </w:t>
      </w:r>
    </w:p>
    <w:p w14:paraId="0D5C879C" w14:textId="77777777" w:rsidR="00970621" w:rsidRPr="0024492B" w:rsidRDefault="00C71DA7" w:rsidP="5502CF07">
      <w:pPr>
        <w:pStyle w:val="ListParagraph"/>
        <w:numPr>
          <w:ilvl w:val="0"/>
          <w:numId w:val="2"/>
        </w:numPr>
        <w:jc w:val="both"/>
        <w:rPr>
          <w:rFonts w:asciiTheme="majorHAnsi" w:hAnsiTheme="majorHAnsi" w:cstheme="majorBidi"/>
          <w:highlight w:val="yellow"/>
          <w:lang w:val="fr-CA"/>
        </w:rPr>
      </w:pPr>
      <w:r w:rsidRPr="0024492B">
        <w:rPr>
          <w:rFonts w:asciiTheme="majorHAnsi" w:hAnsiTheme="majorHAnsi" w:cstheme="majorBidi"/>
          <w:highlight w:val="yellow"/>
          <w:lang w:val="fr-CA"/>
        </w:rPr>
        <w:t>Les noms des entreprises/technologies spécifiques ont été inclus lorsqu'ils ont été mis en évidence par les organisations/entités ; veuillez confirmer que vous êtes à l'aise avec ce niveau de détail.</w:t>
      </w:r>
    </w:p>
    <w:p w14:paraId="0BD48E3C" w14:textId="4E903560" w:rsidR="38C49ADD" w:rsidRPr="0024492B" w:rsidRDefault="00C71DA7" w:rsidP="5502CF07">
      <w:pPr>
        <w:pStyle w:val="ListParagraph"/>
        <w:numPr>
          <w:ilvl w:val="0"/>
          <w:numId w:val="2"/>
        </w:numPr>
        <w:jc w:val="both"/>
        <w:rPr>
          <w:rFonts w:asciiTheme="majorHAnsi" w:hAnsiTheme="majorHAnsi" w:cstheme="majorBidi"/>
          <w:highlight w:val="yellow"/>
          <w:lang w:val="fr-CA"/>
        </w:rPr>
      </w:pPr>
      <w:r w:rsidRPr="0024492B">
        <w:rPr>
          <w:rFonts w:asciiTheme="majorHAnsi" w:hAnsiTheme="majorHAnsi" w:cstheme="majorBidi"/>
          <w:highlight w:val="yellow"/>
          <w:lang w:val="fr-CA"/>
        </w:rPr>
        <w:t xml:space="preserve">Le contenu sera inclus comme contribution à l’exercice de bilan de l’ONU-CIIG, pour représenter les activités FPT. </w:t>
      </w:r>
    </w:p>
    <w:p w14:paraId="2A880E11" w14:textId="01D51C7D" w:rsidR="38C49ADD" w:rsidRPr="0024492B" w:rsidRDefault="00C71DA7" w:rsidP="5502CF07">
      <w:pPr>
        <w:pStyle w:val="ListParagraph"/>
        <w:numPr>
          <w:ilvl w:val="0"/>
          <w:numId w:val="2"/>
        </w:numPr>
        <w:jc w:val="both"/>
        <w:rPr>
          <w:rFonts w:asciiTheme="majorHAnsi" w:hAnsiTheme="majorHAnsi" w:cstheme="majorBidi"/>
          <w:highlight w:val="yellow"/>
          <w:lang w:val="fr-CA"/>
        </w:rPr>
      </w:pPr>
      <w:r w:rsidRPr="0024492B">
        <w:rPr>
          <w:rFonts w:asciiTheme="majorHAnsi" w:hAnsiTheme="majorHAnsi" w:cstheme="majorBidi"/>
          <w:highlight w:val="yellow"/>
          <w:lang w:val="fr-CA"/>
        </w:rPr>
        <w:t>À l'avenir, un contenu similaire pourrait être inclus dans le rapport national du Canada à l'UN-GGIM qui sera élaboré par l'UN-CIIG. À ce stade, nous pourrions demander des renseignements supplémentaires pour garantir une image complète des activités FPT.</w:t>
      </w:r>
    </w:p>
    <w:p w14:paraId="5FDB5E52" w14:textId="49167AC0" w:rsidR="38C49ADD" w:rsidRPr="0024492B" w:rsidRDefault="00C71DA7" w:rsidP="5502CF07">
      <w:pPr>
        <w:jc w:val="both"/>
        <w:rPr>
          <w:rFonts w:asciiTheme="majorHAnsi" w:hAnsiTheme="majorHAnsi" w:cstheme="majorBidi"/>
          <w:highlight w:val="yellow"/>
          <w:lang w:val="fr-CA"/>
        </w:rPr>
      </w:pPr>
      <w:r w:rsidRPr="0024492B">
        <w:rPr>
          <w:rFonts w:asciiTheme="majorHAnsi" w:hAnsiTheme="majorHAnsi" w:cstheme="majorBidi"/>
          <w:highlight w:val="yellow"/>
          <w:lang w:val="fr-CA"/>
        </w:rPr>
        <w:t xml:space="preserve">Demande actuelle : </w:t>
      </w:r>
    </w:p>
    <w:p w14:paraId="461DDCCC" w14:textId="7BE4D697" w:rsidR="38C49ADD" w:rsidRPr="0024492B" w:rsidRDefault="00C71DA7" w:rsidP="5502CF07">
      <w:pPr>
        <w:pStyle w:val="ListParagraph"/>
        <w:numPr>
          <w:ilvl w:val="0"/>
          <w:numId w:val="1"/>
        </w:numPr>
        <w:jc w:val="both"/>
        <w:rPr>
          <w:rFonts w:asciiTheme="majorHAnsi" w:hAnsiTheme="majorHAnsi" w:cstheme="majorBidi"/>
          <w:highlight w:val="yellow"/>
          <w:lang w:val="fr-CA"/>
        </w:rPr>
      </w:pPr>
      <w:r w:rsidRPr="0024492B">
        <w:rPr>
          <w:rFonts w:asciiTheme="majorHAnsi" w:hAnsiTheme="majorHAnsi" w:cstheme="majorBidi"/>
          <w:highlight w:val="yellow"/>
          <w:lang w:val="fr-CA"/>
        </w:rPr>
        <w:t>Nous vous demandons de bien vouloir valider les informations fournies ci-dessous, pour nous assurer qu'elles correspondent au rapport organisationnel/institutionnel que vous avez soumis pour l'AGA et pour garantir que les liens avec les parcours CIIG sont appropriés.</w:t>
      </w:r>
    </w:p>
    <w:p w14:paraId="5316CC21" w14:textId="56DE4BA8" w:rsidR="38C49ADD" w:rsidRPr="0024492B" w:rsidRDefault="00C71DA7" w:rsidP="5502CF07">
      <w:pPr>
        <w:pStyle w:val="ListParagraph"/>
        <w:numPr>
          <w:ilvl w:val="0"/>
          <w:numId w:val="1"/>
        </w:numPr>
        <w:jc w:val="both"/>
        <w:rPr>
          <w:rFonts w:asciiTheme="majorHAnsi" w:hAnsiTheme="majorHAnsi" w:cstheme="majorBidi"/>
          <w:highlight w:val="yellow"/>
          <w:lang w:val="fr-CA"/>
        </w:rPr>
      </w:pPr>
      <w:r w:rsidRPr="0024492B">
        <w:rPr>
          <w:rFonts w:asciiTheme="majorHAnsi" w:hAnsiTheme="majorHAnsi" w:cstheme="majorBidi"/>
          <w:highlight w:val="yellow"/>
          <w:lang w:val="fr-CA"/>
        </w:rPr>
        <w:t>Comme il s'agit d'une version préliminaire uniquement, nous fournissons les résumés institutionnels/organisationnels dans la langue dans laquelle ils ont été fournis. Lorsque la version mise à jour/finale sera distribuée, elle sera disponible dans les deux langues officielles.</w:t>
      </w:r>
    </w:p>
    <w:p w14:paraId="74C59181" w14:textId="3F8E6AB5" w:rsidR="002A3CC1" w:rsidRPr="0024492B" w:rsidRDefault="00C71DA7" w:rsidP="002A3CC1">
      <w:pPr>
        <w:jc w:val="both"/>
        <w:rPr>
          <w:rFonts w:asciiTheme="majorHAnsi" w:hAnsiTheme="majorHAnsi" w:cstheme="majorHAnsi"/>
          <w:highlight w:val="yellow"/>
          <w:lang w:val="fr-CA"/>
        </w:rPr>
      </w:pPr>
      <w:r w:rsidRPr="0024492B">
        <w:rPr>
          <w:rFonts w:asciiTheme="majorHAnsi" w:hAnsiTheme="majorHAnsi" w:cstheme="majorHAnsi"/>
          <w:highlight w:val="yellow"/>
          <w:lang w:val="fr-CA"/>
        </w:rPr>
        <w:t>*****</w:t>
      </w:r>
    </w:p>
    <w:p w14:paraId="598F0DD3" w14:textId="40C37389" w:rsidR="0080614E" w:rsidRPr="0024492B" w:rsidRDefault="00C71DA7" w:rsidP="002F5A93">
      <w:pPr>
        <w:pStyle w:val="Heading1"/>
        <w:jc w:val="both"/>
        <w:rPr>
          <w:rFonts w:cstheme="majorHAnsi"/>
          <w:lang w:val="fr-CA"/>
        </w:rPr>
      </w:pPr>
      <w:r w:rsidRPr="0024492B">
        <w:rPr>
          <w:rFonts w:cstheme="majorHAnsi"/>
          <w:lang w:val="fr-CA"/>
        </w:rPr>
        <w:t>VS1 : Gouvernance</w:t>
      </w:r>
    </w:p>
    <w:p w14:paraId="3182AEBD" w14:textId="77777777" w:rsidR="009216E5" w:rsidRPr="0024492B" w:rsidRDefault="00C71DA7" w:rsidP="002F5A93">
      <w:pPr>
        <w:pStyle w:val="Heading2"/>
        <w:jc w:val="both"/>
        <w:rPr>
          <w:rFonts w:cstheme="majorHAnsi"/>
          <w:lang w:val="fr-CA"/>
        </w:rPr>
      </w:pPr>
      <w:r w:rsidRPr="0024492B">
        <w:rPr>
          <w:rFonts w:cstheme="majorHAnsi"/>
          <w:lang w:val="fr-CA"/>
        </w:rPr>
        <w:t>Agriculture et Agroalimentaire Canada (AAC)</w:t>
      </w:r>
    </w:p>
    <w:p w14:paraId="7D765E86" w14:textId="5391831D"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gestion des ensembles de données par AAC selon les principes FAIR (faciles à trouver, accessibles, interopérables et réutilisables) dans le cadre de l’initiative des Services d’agrogéomatique fait progresser les objectifs de gouvernance de la VS1 en établissant une norme interne pour l’accessibilité et l’interopérabilité des données. Cette approche axée sur la gouvernance garantit que les données agricoles et climatiques sont structurées de façon à pouvoir être utilisées de manière uniforme par les différents ministères, ce qui favorise une gouvernance durable des ressources géospatiales.</w:t>
      </w:r>
    </w:p>
    <w:p w14:paraId="6C0BC22E" w14:textId="77777777" w:rsidR="00C80E8E" w:rsidRPr="0024492B" w:rsidRDefault="00C71DA7" w:rsidP="00C80E8E">
      <w:pPr>
        <w:pStyle w:val="Heading2"/>
        <w:jc w:val="both"/>
        <w:rPr>
          <w:rFonts w:cstheme="majorHAnsi"/>
          <w:lang w:val="fr-CA"/>
        </w:rPr>
      </w:pPr>
      <w:r w:rsidRPr="0024492B">
        <w:rPr>
          <w:rFonts w:cstheme="majorHAnsi"/>
          <w:lang w:val="fr-CA"/>
        </w:rPr>
        <w:t>Ministère des Pêches et des Océans (MPO)</w:t>
      </w:r>
    </w:p>
    <w:p w14:paraId="1A254BF6" w14:textId="77777777" w:rsidR="00C80E8E" w:rsidRPr="0024492B" w:rsidRDefault="00C71DA7" w:rsidP="00C80E8E">
      <w:pPr>
        <w:jc w:val="both"/>
        <w:rPr>
          <w:rFonts w:asciiTheme="majorHAnsi" w:hAnsiTheme="majorHAnsi" w:cstheme="majorHAnsi"/>
          <w:lang w:val="fr-CA"/>
        </w:rPr>
      </w:pPr>
      <w:r w:rsidRPr="0024492B">
        <w:rPr>
          <w:rFonts w:asciiTheme="majorHAnsi" w:hAnsiTheme="majorHAnsi" w:cstheme="majorHAnsi"/>
          <w:lang w:val="fr-CA"/>
        </w:rPr>
        <w:t xml:space="preserve">Le MPO soutient les objectifs de gouvernance de la VS1 par la normalisation numérique des données relatives à la navigation maritime et aux pêches. Cet effort permet de normaliser les données marines et environnementales, facilitant ainsi la collaboration entre les ministères et les organismes maritimes internationaux. En mettant en œuvre des normes de navigation électronique, le MPO s’aligne sur l’objectif de la VS1 de créer des cadres de données </w:t>
      </w:r>
      <w:r w:rsidRPr="0024492B">
        <w:rPr>
          <w:rFonts w:asciiTheme="majorHAnsi" w:hAnsiTheme="majorHAnsi" w:cstheme="majorHAnsi"/>
          <w:lang w:val="fr-CA"/>
        </w:rPr>
        <w:lastRenderedPageBreak/>
        <w:t>interopérables et gouvernables, contribuant ainsi à une gouvernance du milieu marin plus cohérente au Canada.</w:t>
      </w:r>
    </w:p>
    <w:p w14:paraId="7153631D" w14:textId="64D1BBE5" w:rsidR="00C80E8E" w:rsidRPr="0024492B" w:rsidRDefault="00C71DA7" w:rsidP="00C80E8E">
      <w:pPr>
        <w:pStyle w:val="Heading2"/>
        <w:jc w:val="both"/>
        <w:rPr>
          <w:rFonts w:cstheme="majorHAnsi"/>
          <w:lang w:val="fr-CA"/>
        </w:rPr>
      </w:pPr>
      <w:r w:rsidRPr="0024492B">
        <w:rPr>
          <w:rFonts w:cstheme="majorHAnsi"/>
          <w:lang w:val="fr-CA"/>
        </w:rPr>
        <w:t>Logement, Infrastructures et Collectivités Canada (LICC)</w:t>
      </w:r>
    </w:p>
    <w:p w14:paraId="270E36A3" w14:textId="69CCA2B2" w:rsidR="00C80E8E" w:rsidRPr="0024492B" w:rsidRDefault="00C71DA7">
      <w:pPr>
        <w:jc w:val="both"/>
        <w:rPr>
          <w:rFonts w:asciiTheme="majorHAnsi" w:hAnsiTheme="majorHAnsi" w:cstheme="majorHAnsi"/>
          <w:lang w:val="fr-CA"/>
        </w:rPr>
      </w:pPr>
      <w:r w:rsidRPr="0024492B">
        <w:rPr>
          <w:rFonts w:asciiTheme="majorHAnsi" w:hAnsiTheme="majorHAnsi" w:cstheme="majorHAnsi"/>
          <w:lang w:val="fr-CA"/>
        </w:rPr>
        <w:t>LICC soutient la gouvernance en comblant les lacunes importantes en matière de données et en garantissant l’accessibilité des données sur les infrastructures, le logement et les collectivités. En améliorant l’accès aux données géospatiales grâce à des outils comme l’outil de cartographie des projets d’infrastructure, il établit une approche structurée de la gestion et du partage des données entre les ministères et les intervenants publics.</w:t>
      </w:r>
    </w:p>
    <w:p w14:paraId="3A6927B2" w14:textId="40B5A055" w:rsidR="00C80E8E" w:rsidRPr="0024492B" w:rsidRDefault="00C71DA7" w:rsidP="00C80E8E">
      <w:pPr>
        <w:pStyle w:val="Heading2"/>
        <w:jc w:val="both"/>
        <w:rPr>
          <w:rFonts w:cstheme="majorHAnsi"/>
          <w:lang w:val="fr-CA"/>
        </w:rPr>
      </w:pPr>
      <w:r w:rsidRPr="0024492B">
        <w:rPr>
          <w:rFonts w:cstheme="majorHAnsi"/>
          <w:lang w:val="fr-CA"/>
        </w:rPr>
        <w:t>Ressources naturelles Canada – Centre canadien de cartographie et d’observation de la Terre (RNCan-CCCOT)</w:t>
      </w:r>
      <w:r w:rsidRPr="0024492B">
        <w:rPr>
          <w:rStyle w:val="FootnoteReference"/>
          <w:rFonts w:cstheme="majorHAnsi"/>
          <w:lang w:val="fr-CA"/>
        </w:rPr>
        <w:footnoteReference w:id="2"/>
      </w:r>
    </w:p>
    <w:p w14:paraId="6F249C5F" w14:textId="50BFEB2A" w:rsidR="00C80E8E" w:rsidRPr="0024492B" w:rsidRDefault="00C71DA7" w:rsidP="00C80E8E">
      <w:pPr>
        <w:jc w:val="both"/>
        <w:rPr>
          <w:rFonts w:asciiTheme="majorHAnsi" w:hAnsiTheme="majorHAnsi" w:cstheme="majorHAnsi"/>
          <w:lang w:val="fr-CA"/>
        </w:rPr>
      </w:pPr>
      <w:r w:rsidRPr="0024492B">
        <w:rPr>
          <w:rFonts w:asciiTheme="majorHAnsi" w:hAnsiTheme="majorHAnsi"/>
          <w:lang w:val="fr-CA"/>
        </w:rPr>
        <w:t>RNCan-CCCOT a travaillé sur la communication de la proposition de valeur géospatiale pour des priorités comme les interventions d’urgence, la cartographie des inondations, etc. La division de l’ICDG</w:t>
      </w:r>
      <w:r w:rsidRPr="0024492B">
        <w:rPr>
          <w:lang w:val="fr-CA"/>
        </w:rPr>
        <w:t xml:space="preserve"> </w:t>
      </w:r>
      <w:r w:rsidRPr="0024492B">
        <w:rPr>
          <w:rFonts w:asciiTheme="majorHAnsi" w:hAnsiTheme="majorHAnsi"/>
          <w:lang w:val="fr-CA"/>
        </w:rPr>
        <w:t>continue de</w:t>
      </w:r>
      <w:r w:rsidRPr="0024492B">
        <w:rPr>
          <w:lang w:val="fr-CA"/>
        </w:rPr>
        <w:t xml:space="preserve"> </w:t>
      </w:r>
      <w:r w:rsidRPr="0024492B">
        <w:rPr>
          <w:rFonts w:asciiTheme="majorHAnsi" w:hAnsiTheme="majorHAnsi"/>
          <w:lang w:val="fr-CA"/>
        </w:rPr>
        <w:t>diriger la participation du Canada aux forums géospatiaux internationaux et de tirer parti des mécanismes de gouvernance partagée comme l’UN-GGIM, le GENUNG et les organismes d’élaboration de normes (OEN) pour promouvoir l’interopérabilité. Les efforts du CCCOT en matière de gouvernance des données ouvertes reflètent les objectifs de la VS1 en matière d’accessibilité des données et de normes de gouvernance intergouvernementales.</w:t>
      </w:r>
    </w:p>
    <w:p w14:paraId="41154107" w14:textId="77777777" w:rsidR="009216E5" w:rsidRPr="0024492B" w:rsidRDefault="00C71DA7" w:rsidP="002F5A93">
      <w:pPr>
        <w:pStyle w:val="Heading2"/>
        <w:jc w:val="both"/>
        <w:rPr>
          <w:rFonts w:cstheme="majorHAnsi"/>
          <w:lang w:val="fr-CA"/>
        </w:rPr>
      </w:pPr>
      <w:r w:rsidRPr="0024492B">
        <w:rPr>
          <w:rFonts w:cstheme="majorHAnsi"/>
          <w:lang w:val="fr-CA"/>
        </w:rPr>
        <w:t>Alberta</w:t>
      </w:r>
    </w:p>
    <w:p w14:paraId="676C773E" w14:textId="3FE46179" w:rsidR="009216E5" w:rsidRPr="0024492B" w:rsidRDefault="00C71DA7" w:rsidP="0027616B">
      <w:pPr>
        <w:jc w:val="both"/>
        <w:rPr>
          <w:rFonts w:asciiTheme="majorHAnsi" w:hAnsiTheme="majorHAnsi" w:cstheme="majorHAnsi"/>
          <w:lang w:val="fr-CA"/>
        </w:rPr>
      </w:pPr>
      <w:r w:rsidRPr="0024492B">
        <w:rPr>
          <w:rFonts w:asciiTheme="majorHAnsi" w:hAnsiTheme="majorHAnsi" w:cstheme="majorHAnsi"/>
          <w:lang w:val="fr-CA"/>
        </w:rPr>
        <w:t>Le cadre de gouvernance géospatiale et les modèles structurés d’acquisition de données de l’Alberta soutiennent la VS1 en créant un modèle de gouvernance durable qui améliore l’accès aux données de gestion des urgences. Elle prévoit de poursuivre l’élaboration d’un cadre global de gouvernance géospatiale à l’échelle du gouvernement et de renouveler et de faire progresser les travaux sur la gouvernance et le soutien au programme de SATP. L’accent mis sur les programmes de données fondamentales s’aligne sur l’importance accordée par la VS1 à la mise en place d’une infrastructure géospatiale gouvernable et fiable afin d’améliorer la coordination des interventions lors d’événements environnementaux.</w:t>
      </w:r>
    </w:p>
    <w:p w14:paraId="47276D39" w14:textId="77777777" w:rsidR="009216E5" w:rsidRPr="0024492B" w:rsidRDefault="00C71DA7" w:rsidP="002F5A93">
      <w:pPr>
        <w:pStyle w:val="Heading2"/>
        <w:jc w:val="both"/>
        <w:rPr>
          <w:rFonts w:cstheme="majorHAnsi"/>
          <w:lang w:val="fr-CA"/>
        </w:rPr>
      </w:pPr>
      <w:r w:rsidRPr="0024492B">
        <w:rPr>
          <w:rFonts w:cstheme="majorHAnsi"/>
          <w:lang w:val="fr-CA"/>
        </w:rPr>
        <w:t>Colombie-Britannique</w:t>
      </w:r>
    </w:p>
    <w:p w14:paraId="4E960C88" w14:textId="5DF71F3A"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stratégie géospatiale du secteur des ressources naturelles de la Colombie-Britannique s’aligne sur la VS1 en donnant la priorité aux cadres de gouvernance des données qui améliorent l’intendance et la collaboration entre les secteurs. En intégrant la gouvernance des données dans les efforts de collaboration interministérielle, l’approche de la Colombie-Britannique soutient les objectifs de la VS1 pour une gouvernance cohérente et transparente des données géospatiales.</w:t>
      </w:r>
    </w:p>
    <w:p w14:paraId="725C1DE1" w14:textId="77777777" w:rsidR="009216E5" w:rsidRPr="0024492B" w:rsidRDefault="00C71DA7" w:rsidP="002F5A93">
      <w:pPr>
        <w:pStyle w:val="Heading2"/>
        <w:jc w:val="both"/>
        <w:rPr>
          <w:rFonts w:cstheme="majorHAnsi"/>
          <w:lang w:val="fr-CA"/>
        </w:rPr>
      </w:pPr>
      <w:r w:rsidRPr="0024492B">
        <w:rPr>
          <w:rFonts w:cstheme="majorHAnsi"/>
          <w:lang w:val="fr-CA"/>
        </w:rPr>
        <w:lastRenderedPageBreak/>
        <w:t>Manitoba</w:t>
      </w:r>
    </w:p>
    <w:p w14:paraId="52F323F1"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 passage du Manitoba à un système de gestion géospatiale centralisé (ArcGIS Online) favorise l’accessibilité des données, la gouvernance partagée et la transparence dans les ministères provinciaux. Les efforts stratégiques en faveur d’une stratégie géospatiale à l’échelle du gouvernement améliorent la gouvernance en établissant un cadre cohérent qui favorise l’interopérabilité des données et une prise de décision éclairée, conformément aux priorités de la VS1 en matière de gouvernance.</w:t>
      </w:r>
    </w:p>
    <w:p w14:paraId="55EF89D6" w14:textId="77777777" w:rsidR="009216E5" w:rsidRPr="0024492B" w:rsidRDefault="00C71DA7" w:rsidP="002F5A93">
      <w:pPr>
        <w:pStyle w:val="Heading2"/>
        <w:jc w:val="both"/>
        <w:rPr>
          <w:rFonts w:cstheme="majorHAnsi"/>
          <w:lang w:val="fr-CA"/>
        </w:rPr>
      </w:pPr>
      <w:r w:rsidRPr="0024492B">
        <w:rPr>
          <w:rFonts w:cstheme="majorHAnsi"/>
          <w:lang w:val="fr-CA"/>
        </w:rPr>
        <w:t>Nouveau-Brunswick</w:t>
      </w:r>
    </w:p>
    <w:p w14:paraId="6187B6A7"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 développement d’une communauté de pratique en matière de SIG par le Nouveau-Brunswick consolide les groupes de SIG dans le cadre d’une structure de gouvernance unifiée, améliorant ainsi la collaboration interministérielle. L’accent mis sur les pratiques normalisées en matière de données, telles que l’amélioration des routes et des adresses, s’aligne sur les objectifs de gouvernance de la VS1 visant à établir une gestion uniforme et précise des données dans tous les ministères, créant ainsi un modèle cohérent de gouvernance des données.</w:t>
      </w:r>
    </w:p>
    <w:p w14:paraId="2E770254" w14:textId="77777777" w:rsidR="009216E5" w:rsidRPr="0024492B" w:rsidRDefault="00C71DA7" w:rsidP="002F5A93">
      <w:pPr>
        <w:pStyle w:val="Heading2"/>
        <w:jc w:val="both"/>
        <w:rPr>
          <w:rFonts w:cstheme="majorHAnsi"/>
          <w:lang w:val="fr-CA"/>
        </w:rPr>
      </w:pPr>
      <w:r w:rsidRPr="0024492B">
        <w:rPr>
          <w:rFonts w:cstheme="majorHAnsi"/>
          <w:lang w:val="fr-CA"/>
        </w:rPr>
        <w:t>Terre-Neuve-et-Labrador</w:t>
      </w:r>
    </w:p>
    <w:p w14:paraId="26A12C4E"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L’engagement de Terre-Neuve en faveur d’un modèle de données ouvertes, illustré par la plateforme géospatiale du gouvernement de Terre-Neuve-et-Labrador et le tableau de bord des feux de forêt, soutient la VS1 en facilitant la gouvernance ouverte et collaborative des données géospatiales. En rendant les données plus accessibles et en promouvant la mobilisation publique et interministérielle, le modèle de Terre-Neuve s’aligne sur l’objectif de la VS1 d’améliorer la transparence des données et l’inclusion dans la gouvernance.</w:t>
      </w:r>
    </w:p>
    <w:p w14:paraId="102D735F" w14:textId="77777777" w:rsidR="009216E5" w:rsidRPr="0024492B" w:rsidRDefault="00C71DA7" w:rsidP="002F5A93">
      <w:pPr>
        <w:pStyle w:val="Heading2"/>
        <w:jc w:val="both"/>
        <w:rPr>
          <w:rFonts w:cstheme="majorHAnsi"/>
          <w:lang w:val="fr-CA"/>
        </w:rPr>
      </w:pPr>
      <w:r w:rsidRPr="0024492B">
        <w:rPr>
          <w:rFonts w:cstheme="majorHAnsi"/>
          <w:lang w:val="fr-CA"/>
        </w:rPr>
        <w:t>Territoires du Nord-Ouest</w:t>
      </w:r>
    </w:p>
    <w:p w14:paraId="3AAFBE7B" w14:textId="23E21F78"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Les Territoires du Nord-Ouest font progresser la VS1 en améliorant la gouvernance des données matricielles et les solutions de stockage afin de garantir la fiabilité des données. L’accent mis sur la réorganisation des dépôts de données soutient l’objectif de la VS1 d’établir une approche structurée et gouvernable de la gestion des données géospatiales sur l’ensemble du territoire.</w:t>
      </w:r>
    </w:p>
    <w:p w14:paraId="032B4CA7" w14:textId="77777777" w:rsidR="009216E5" w:rsidRPr="0024492B" w:rsidRDefault="00C71DA7" w:rsidP="002F5A93">
      <w:pPr>
        <w:pStyle w:val="Heading2"/>
        <w:jc w:val="both"/>
        <w:rPr>
          <w:rFonts w:cstheme="majorHAnsi"/>
          <w:lang w:val="fr-CA"/>
        </w:rPr>
      </w:pPr>
      <w:r w:rsidRPr="0024492B">
        <w:rPr>
          <w:rFonts w:cstheme="majorHAnsi"/>
          <w:lang w:val="fr-CA"/>
        </w:rPr>
        <w:t>Nouvelle-Écosse</w:t>
      </w:r>
    </w:p>
    <w:p w14:paraId="0C0FF95A" w14:textId="77777777" w:rsidR="00BB7C8D" w:rsidRPr="00BB7C8D" w:rsidRDefault="00BB7C8D" w:rsidP="00BB7C8D">
      <w:pPr>
        <w:jc w:val="both"/>
        <w:rPr>
          <w:rFonts w:asciiTheme="majorHAnsi" w:hAnsiTheme="majorHAnsi" w:cstheme="majorHAnsi"/>
          <w:lang w:val="fr-CA"/>
        </w:rPr>
      </w:pPr>
      <w:r w:rsidRPr="00BB7C8D">
        <w:rPr>
          <w:rFonts w:asciiTheme="majorHAnsi" w:hAnsiTheme="majorHAnsi" w:cstheme="majorHAnsi"/>
          <w:lang w:val="fr-CA"/>
        </w:rPr>
        <w:t>L’accent mis par la Nouvelle-Écosse sur l’intendance et la gouvernance des données s’aligne sur la VS1 en garantissant la cohérence et l’accessibilité des données. Ses initiatives centralisées en matière de métadonnées améliorent la collaboration entre les ministères, ce qui soutient les objectifs de la VS1 en vue d’un cadre de gouvernance transparent et efficace.</w:t>
      </w:r>
    </w:p>
    <w:p w14:paraId="3AE7CAD2" w14:textId="77777777" w:rsidR="009216E5" w:rsidRPr="0024492B" w:rsidRDefault="00C71DA7" w:rsidP="002F5A93">
      <w:pPr>
        <w:pStyle w:val="Heading2"/>
        <w:jc w:val="both"/>
        <w:rPr>
          <w:rFonts w:cstheme="majorHAnsi"/>
          <w:lang w:val="fr-CA"/>
        </w:rPr>
      </w:pPr>
      <w:r w:rsidRPr="0024492B">
        <w:rPr>
          <w:rFonts w:cstheme="majorHAnsi"/>
          <w:lang w:val="fr-CA"/>
        </w:rPr>
        <w:t>Nunavut</w:t>
      </w:r>
    </w:p>
    <w:p w14:paraId="24C4C42C" w14:textId="3F6BEE7E"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plateforme de données ouvertes du Nunavut soutient les objectifs de gouvernance de la VS1 en améliorant l’accessibilité et la transparence des données. Son approche structurée de la gouvernance des données géospatiales garantit que le partage des données est organisé et fiable, ce qui correspond à l’accent mis par la VS1 sur les cadres de gouvernance inclusifs.</w:t>
      </w:r>
    </w:p>
    <w:p w14:paraId="2BA682D5" w14:textId="515AD027" w:rsidR="009216E5" w:rsidRPr="0024492B" w:rsidRDefault="00C71DA7" w:rsidP="5502CF07">
      <w:pPr>
        <w:pStyle w:val="Heading2"/>
        <w:jc w:val="both"/>
        <w:rPr>
          <w:lang w:val="fr-CA"/>
        </w:rPr>
      </w:pPr>
      <w:r w:rsidRPr="0024492B">
        <w:rPr>
          <w:lang w:val="fr-CA"/>
        </w:rPr>
        <w:lastRenderedPageBreak/>
        <w:t>Québec</w:t>
      </w:r>
    </w:p>
    <w:p w14:paraId="531F73E4" w14:textId="435AE0B3" w:rsidR="00B02159" w:rsidRPr="0024492B" w:rsidRDefault="00C71DA7" w:rsidP="5502CF07">
      <w:pPr>
        <w:jc w:val="both"/>
        <w:rPr>
          <w:rFonts w:asciiTheme="majorHAnsi" w:hAnsiTheme="majorHAnsi" w:cstheme="majorBidi"/>
          <w:lang w:val="fr-CA"/>
        </w:rPr>
      </w:pPr>
      <w:r w:rsidRPr="0024492B">
        <w:rPr>
          <w:rFonts w:asciiTheme="majorHAnsi" w:hAnsiTheme="majorHAnsi" w:cstheme="majorBidi"/>
          <w:lang w:val="fr-CA"/>
        </w:rPr>
        <w:t>La Direction générale de l'information géospatiale du Québec fait progresser l'acquisition et la gestion des données, en développant des systèmes tels que la Référence géographique du Québec. Leurs partenariats intergouvernementaux pour la protection contre les inondations et les données cadastrales améliorent la gouvernance et soutiennent l'objectif de la VS1 de promouvoir des modèles de gouvernance des données unifiés à travers les juridictions.</w:t>
      </w:r>
    </w:p>
    <w:p w14:paraId="51135B9A" w14:textId="77777777" w:rsidR="009216E5" w:rsidRPr="0024492B" w:rsidRDefault="00C71DA7" w:rsidP="002F5A93">
      <w:pPr>
        <w:pStyle w:val="Heading2"/>
        <w:jc w:val="both"/>
        <w:rPr>
          <w:rFonts w:cstheme="majorHAnsi"/>
          <w:lang w:val="fr-CA"/>
        </w:rPr>
      </w:pPr>
      <w:r w:rsidRPr="0024492B">
        <w:rPr>
          <w:rFonts w:cstheme="majorHAnsi"/>
          <w:lang w:val="fr-CA"/>
        </w:rPr>
        <w:t>Yukon</w:t>
      </w:r>
    </w:p>
    <w:p w14:paraId="6EAE0207" w14:textId="0BB25B03"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feuille de route et la stratégie géospatiales du Yukon s’alignent sur la VS1 en mettant l’accent sur la documentation et la communication de la gouvernance interne. Cette approche améliore l’uniformité des politiques en matière de données et jette les bases pour des opérations géospatiales coordonnées et gouvernables dans les différents ministères.</w:t>
      </w:r>
    </w:p>
    <w:p w14:paraId="0D303DCF" w14:textId="4DABB1AB" w:rsidR="0080614E" w:rsidRPr="0024492B" w:rsidRDefault="00C71DA7" w:rsidP="002F5A93">
      <w:pPr>
        <w:pStyle w:val="Heading1"/>
        <w:jc w:val="both"/>
        <w:rPr>
          <w:rFonts w:cstheme="majorHAnsi"/>
          <w:lang w:val="fr-CA"/>
        </w:rPr>
      </w:pPr>
      <w:r w:rsidRPr="0024492B">
        <w:rPr>
          <w:rFonts w:cstheme="majorHAnsi"/>
          <w:lang w:val="fr-CA"/>
        </w:rPr>
        <w:t>VS2 : Aspects politiques et juridiques</w:t>
      </w:r>
    </w:p>
    <w:p w14:paraId="4742DFC1" w14:textId="77777777" w:rsidR="009216E5" w:rsidRPr="0024492B" w:rsidRDefault="00C71DA7" w:rsidP="002F5A93">
      <w:pPr>
        <w:pStyle w:val="Heading2"/>
        <w:jc w:val="both"/>
        <w:rPr>
          <w:rFonts w:cstheme="majorHAnsi"/>
          <w:lang w:val="fr-CA"/>
        </w:rPr>
      </w:pPr>
      <w:r w:rsidRPr="0024492B">
        <w:rPr>
          <w:rFonts w:cstheme="majorHAnsi"/>
          <w:lang w:val="fr-CA"/>
        </w:rPr>
        <w:t>Agriculture et Agroalimentaire Canada (AAC)</w:t>
      </w:r>
    </w:p>
    <w:p w14:paraId="6B8ECE32"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L’adhésion d’AAC aux normes FAIR en matière de données est conforme aux objectifs juridiques et politiques de la VS2, en fournissant un cadre légal pour l’accès aux données et leur partage. L’accent mis sur l’interopérabilité des données géospatiales au sein d’AAC garantit le respect des politiques juridiques régissant l’accès aux données et leur utilisation, ce qui correspond à l’objectif de la VS2 concernant des pratiques géospatiales saines sur le plan juridique.</w:t>
      </w:r>
    </w:p>
    <w:p w14:paraId="77279FF6" w14:textId="77777777" w:rsidR="00C80E8E" w:rsidRPr="0024492B" w:rsidRDefault="00C71DA7" w:rsidP="00C80E8E">
      <w:pPr>
        <w:pStyle w:val="Heading2"/>
        <w:jc w:val="both"/>
        <w:rPr>
          <w:rFonts w:cstheme="majorHAnsi"/>
          <w:lang w:val="fr-CA"/>
        </w:rPr>
      </w:pPr>
      <w:r w:rsidRPr="0024492B">
        <w:rPr>
          <w:rFonts w:cstheme="majorHAnsi"/>
          <w:lang w:val="fr-CA"/>
        </w:rPr>
        <w:t>Ministère des Pêches et des Océans (MPO)</w:t>
      </w:r>
    </w:p>
    <w:p w14:paraId="463086F2" w14:textId="77777777" w:rsidR="00C80E8E" w:rsidRPr="0024492B" w:rsidRDefault="00C71DA7" w:rsidP="00C80E8E">
      <w:pPr>
        <w:jc w:val="both"/>
        <w:rPr>
          <w:rFonts w:asciiTheme="majorHAnsi" w:hAnsiTheme="majorHAnsi" w:cstheme="majorHAnsi"/>
          <w:lang w:val="fr-CA"/>
        </w:rPr>
      </w:pPr>
      <w:r w:rsidRPr="0024492B">
        <w:rPr>
          <w:rFonts w:asciiTheme="majorHAnsi" w:hAnsiTheme="majorHAnsi" w:cstheme="majorHAnsi"/>
          <w:lang w:val="fr-CA"/>
        </w:rPr>
        <w:t>Le MPO traite des thèmes juridiques et politiques de la VS2 en mettant en œuvre la navigation électronique et les normes internationales en matière de données marines, qui harmonisent les données marines canadiennes avec les règlements mondiaux. Cette intégration des normes internationales garantit que les pratiques du MPO sont conformes aux exigences juridiques, ce qui favorise une gouvernance cohérente de la politique maritime et la conformité avec les cadres nationaux et internationaux.</w:t>
      </w:r>
    </w:p>
    <w:p w14:paraId="42C0ABB8" w14:textId="24B72C6E" w:rsidR="00C80E8E" w:rsidRPr="0024492B" w:rsidRDefault="00C71DA7" w:rsidP="00C80E8E">
      <w:pPr>
        <w:pStyle w:val="Heading2"/>
        <w:jc w:val="both"/>
        <w:rPr>
          <w:rFonts w:cstheme="majorHAnsi"/>
          <w:lang w:val="fr-CA"/>
        </w:rPr>
      </w:pPr>
      <w:r w:rsidRPr="0024492B">
        <w:rPr>
          <w:rFonts w:cstheme="majorHAnsi"/>
          <w:lang w:val="fr-CA"/>
        </w:rPr>
        <w:t>Logement, Infrastructures et Collectivités Canada (LICC)</w:t>
      </w:r>
    </w:p>
    <w:p w14:paraId="74889A84" w14:textId="2409D344" w:rsidR="00C80E8E" w:rsidRPr="0024492B" w:rsidRDefault="00C71DA7" w:rsidP="1B0E2894">
      <w:pPr>
        <w:jc w:val="both"/>
        <w:rPr>
          <w:rFonts w:asciiTheme="majorHAnsi" w:hAnsiTheme="majorHAnsi" w:cstheme="majorBidi"/>
          <w:lang w:val="fr-CA"/>
        </w:rPr>
      </w:pPr>
      <w:r w:rsidRPr="0024492B">
        <w:rPr>
          <w:rFonts w:asciiTheme="majorHAnsi" w:hAnsiTheme="majorHAnsi" w:cstheme="majorBidi"/>
          <w:lang w:val="fr-CA"/>
        </w:rPr>
        <w:t>L’élaboration d’outils tels que l’outil de cartographie de l’équité climatique par LICC reflète un engagement en faveur de pratiques de données inclusives qui s’alignent sur les objectifs politiques, garantissant que les informations géospatiales facilitent l’accès équitable et le respect des politiques dans la planification des infrastructures.</w:t>
      </w:r>
    </w:p>
    <w:p w14:paraId="77C452AF" w14:textId="77777777" w:rsidR="00C80E8E" w:rsidRPr="0024492B" w:rsidRDefault="00C71DA7" w:rsidP="00C80E8E">
      <w:pPr>
        <w:pStyle w:val="Heading2"/>
        <w:jc w:val="both"/>
        <w:rPr>
          <w:rFonts w:cstheme="majorHAnsi"/>
          <w:lang w:val="fr-CA"/>
        </w:rPr>
      </w:pPr>
      <w:r w:rsidRPr="0024492B">
        <w:rPr>
          <w:rFonts w:cstheme="majorHAnsi"/>
          <w:lang w:val="fr-CA"/>
        </w:rPr>
        <w:t>Ressources naturelles Canada – Centre canadien de cartographie et d’observation de la Terre (RNCan-CCCOT)</w:t>
      </w:r>
    </w:p>
    <w:p w14:paraId="41A502BA" w14:textId="2BAD9C14" w:rsidR="00C80E8E" w:rsidRPr="0024492B" w:rsidRDefault="00C71DA7" w:rsidP="00C80E8E">
      <w:pPr>
        <w:jc w:val="both"/>
        <w:rPr>
          <w:rFonts w:asciiTheme="majorHAnsi" w:hAnsiTheme="majorHAnsi" w:cstheme="majorBidi"/>
          <w:lang w:val="fr-CA"/>
        </w:rPr>
      </w:pPr>
      <w:r w:rsidRPr="0024492B">
        <w:rPr>
          <w:rFonts w:asciiTheme="majorHAnsi" w:hAnsiTheme="majorHAnsi" w:cstheme="majorBidi"/>
          <w:lang w:val="fr-CA"/>
        </w:rPr>
        <w:t xml:space="preserve">L’accent mis par RNCan-CCCOT sur la gouvernance des données ouvertes et l’initiative GéoBase soutient les thèmes juridiques et politiques de la VS2 en établissant des cadres structurés de conformité aux politiques pour la production et le partage des données géospatiales. La division </w:t>
      </w:r>
      <w:r w:rsidRPr="0024492B">
        <w:rPr>
          <w:rFonts w:asciiTheme="majorHAnsi" w:hAnsiTheme="majorHAnsi" w:cstheme="majorBidi"/>
          <w:lang w:val="fr-CA"/>
        </w:rPr>
        <w:lastRenderedPageBreak/>
        <w:t xml:space="preserve">de l’ICDG continue de fournir des politiques et des lignes directrices relatives à l’interopérabilité fondée sur des normes, et a dirigé la rédaction d’un document conceptuel sur les données géospatiales pour le bien collectif (intitulé </w:t>
      </w:r>
      <w:r w:rsidRPr="0024492B">
        <w:rPr>
          <w:rFonts w:asciiTheme="majorHAnsi" w:hAnsiTheme="majorHAnsi" w:cstheme="majorBidi"/>
          <w:i/>
          <w:iCs/>
          <w:lang w:val="fr-CA"/>
        </w:rPr>
        <w:t>Concept Paper on Geospatial Data for Public Good</w:t>
      </w:r>
      <w:r w:rsidRPr="0024492B">
        <w:rPr>
          <w:rFonts w:asciiTheme="majorHAnsi" w:hAnsiTheme="majorHAnsi" w:cstheme="majorBidi"/>
          <w:lang w:val="fr-CA"/>
        </w:rPr>
        <w:t>) afin d’aider les pays à élaborer des cadres juridiques et politiques solides, soutenant l’accent mis par la VS2 sur les politiques de données qui facilitent l’interopérabilité et la transparence.</w:t>
      </w:r>
    </w:p>
    <w:p w14:paraId="60894142" w14:textId="77777777" w:rsidR="009216E5" w:rsidRPr="0024492B" w:rsidRDefault="00C71DA7" w:rsidP="002F5A93">
      <w:pPr>
        <w:pStyle w:val="Heading2"/>
        <w:jc w:val="both"/>
        <w:rPr>
          <w:rFonts w:cstheme="majorHAnsi"/>
          <w:lang w:val="fr-CA"/>
        </w:rPr>
      </w:pPr>
      <w:r w:rsidRPr="0024492B">
        <w:rPr>
          <w:rFonts w:cstheme="majorHAnsi"/>
          <w:lang w:val="fr-CA"/>
        </w:rPr>
        <w:t>Alberta</w:t>
      </w:r>
    </w:p>
    <w:p w14:paraId="0C996CCD"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 cadre de gouvernance géospatiale de l’Alberta est conçu pour se conformer aux politiques provinciales de partage des données, soutenant ainsi les objectifs juridiques de la VS2. En donnant la priorité à l’accès normalisé aux données relatives aux urgences et à l’environnement, l’approche de l’Alberta répond aux exigences politiques en matière de sécurité publique et de gestion des urgences, et s’aligne sur l’accent mis par la VS2 sur les politiques en matière de données axées sur la conformité.</w:t>
      </w:r>
    </w:p>
    <w:p w14:paraId="74EFB68E" w14:textId="77777777" w:rsidR="009216E5" w:rsidRPr="0024492B" w:rsidRDefault="00C71DA7" w:rsidP="002F5A93">
      <w:pPr>
        <w:pStyle w:val="Heading2"/>
        <w:jc w:val="both"/>
        <w:rPr>
          <w:rFonts w:cstheme="majorHAnsi"/>
          <w:lang w:val="fr-CA"/>
        </w:rPr>
      </w:pPr>
      <w:r w:rsidRPr="0024492B">
        <w:rPr>
          <w:rFonts w:cstheme="majorHAnsi"/>
          <w:lang w:val="fr-CA"/>
        </w:rPr>
        <w:t>Colombie-Britannique</w:t>
      </w:r>
    </w:p>
    <w:p w14:paraId="2B3B6DBB" w14:textId="7956C983"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stratégie géospatiale du secteur des ressources naturelles de la Colombie-Britannique s’aligne sur les objectifs juridiques et politiques de la VS2 en intégrant la conformité réglementaire dans la gouvernance géospatiale interministérielle. Son engagement en faveur de la transparence des données et de cadres politiques structurés au sein du secteur renforce les objectifs de la VS2 en matière de gouvernance des données accessible et alignée sur les politiques.</w:t>
      </w:r>
    </w:p>
    <w:p w14:paraId="08CB36FC" w14:textId="77777777" w:rsidR="009216E5" w:rsidRPr="0024492B" w:rsidRDefault="00C71DA7" w:rsidP="002F5A93">
      <w:pPr>
        <w:pStyle w:val="Heading2"/>
        <w:jc w:val="both"/>
        <w:rPr>
          <w:rFonts w:cstheme="majorHAnsi"/>
          <w:lang w:val="fr-CA"/>
        </w:rPr>
      </w:pPr>
      <w:r w:rsidRPr="0024492B">
        <w:rPr>
          <w:rFonts w:cstheme="majorHAnsi"/>
          <w:lang w:val="fr-CA"/>
        </w:rPr>
        <w:t>Manitoba</w:t>
      </w:r>
    </w:p>
    <w:p w14:paraId="77090BF4"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 travail du Manitoba pour mettre en place une stratégie géospatiale exhaustive soutient les objectifs juridiques et politiques de la VS2 en préconisant une politique formalisée sur l’accès aux données et leur partage dans la province. Ses efforts pour passer à ArcGIS Online conformément aux normes légales de partage des données garantissent le respect des politiques et la transparence, ce qui permet d’atteindre les objectifs en matière de cadre juridique de la VS2.</w:t>
      </w:r>
    </w:p>
    <w:p w14:paraId="4EAA4C0D" w14:textId="77777777" w:rsidR="009216E5" w:rsidRPr="0024492B" w:rsidRDefault="00C71DA7" w:rsidP="002F5A93">
      <w:pPr>
        <w:pStyle w:val="Heading2"/>
        <w:jc w:val="both"/>
        <w:rPr>
          <w:rFonts w:cstheme="majorHAnsi"/>
          <w:lang w:val="fr-CA"/>
        </w:rPr>
      </w:pPr>
      <w:r w:rsidRPr="0024492B">
        <w:rPr>
          <w:rFonts w:cstheme="majorHAnsi"/>
          <w:lang w:val="fr-CA"/>
        </w:rPr>
        <w:t>Nouveau-Brunswick</w:t>
      </w:r>
    </w:p>
    <w:p w14:paraId="763480D6" w14:textId="314E3080"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politique de consolidation des données ouvertes du Nouveau-Brunswick pour l’amélioration des routes et des adresses s’aligne sur l’accent mis par la VS2 sur les pratiques en matière de données uniformes et axées sur les politiques qui soutiennent la transparence et la conformité juridique au sein de la gouvernance géospatiale.</w:t>
      </w:r>
    </w:p>
    <w:p w14:paraId="573F8415" w14:textId="77777777" w:rsidR="009216E5" w:rsidRPr="0024492B" w:rsidRDefault="00C71DA7" w:rsidP="002F5A93">
      <w:pPr>
        <w:pStyle w:val="Heading2"/>
        <w:jc w:val="both"/>
        <w:rPr>
          <w:rFonts w:cstheme="majorHAnsi"/>
          <w:lang w:val="fr-CA"/>
        </w:rPr>
      </w:pPr>
      <w:r w:rsidRPr="0024492B">
        <w:rPr>
          <w:rFonts w:cstheme="majorHAnsi"/>
          <w:lang w:val="fr-CA"/>
        </w:rPr>
        <w:t>Terre-Neuve-et-Labrador</w:t>
      </w:r>
    </w:p>
    <w:p w14:paraId="3ABAFAA9"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plateforme géospatiale du gouvernement de Terre-Neuve-et-Labrador et la plateforme de données ouvertes orientée à l’intention du public de la province soutiennent la VS2 en intégrant la transparence juridique et les politiques de données ouvertes dans ses initiatives géospatiales. Cette approche garantit que les pratiques de Terre-Neuve en matière de données géospatiales respectent les normes de politique publique en matière d’accessibilité, soutenant ainsi les objectifs juridiques et de gouvernance ouverte de la VS2.</w:t>
      </w:r>
    </w:p>
    <w:p w14:paraId="128FD06A" w14:textId="77777777" w:rsidR="009216E5" w:rsidRPr="0024492B" w:rsidRDefault="00C71DA7" w:rsidP="002F5A93">
      <w:pPr>
        <w:pStyle w:val="Heading2"/>
        <w:jc w:val="both"/>
        <w:rPr>
          <w:rFonts w:cstheme="majorHAnsi"/>
          <w:lang w:val="fr-CA"/>
        </w:rPr>
      </w:pPr>
      <w:r w:rsidRPr="0024492B">
        <w:rPr>
          <w:rFonts w:cstheme="majorHAnsi"/>
          <w:lang w:val="fr-CA"/>
        </w:rPr>
        <w:lastRenderedPageBreak/>
        <w:t>Nouvelle-Écosse</w:t>
      </w:r>
    </w:p>
    <w:p w14:paraId="0B112479" w14:textId="77777777" w:rsidR="00BB7C8D" w:rsidRPr="00BB7C8D" w:rsidRDefault="00BB7C8D" w:rsidP="00BB7C8D">
      <w:pPr>
        <w:jc w:val="both"/>
        <w:rPr>
          <w:rFonts w:asciiTheme="majorHAnsi" w:hAnsiTheme="majorHAnsi" w:cstheme="majorHAnsi"/>
          <w:lang w:val="fr-CA"/>
        </w:rPr>
      </w:pPr>
      <w:r w:rsidRPr="00BB7C8D">
        <w:rPr>
          <w:rFonts w:asciiTheme="majorHAnsi" w:hAnsiTheme="majorHAnsi" w:cstheme="majorHAnsi"/>
          <w:lang w:val="fr-CA"/>
        </w:rPr>
        <w:t>La centralisation de l’accès aux données géographiques en Nouvelle-Écosse soutient la VS2 et contribue à assurer l’uniformité des pratiques géospatiales.</w:t>
      </w:r>
    </w:p>
    <w:p w14:paraId="76B4C7C3" w14:textId="24970ADA" w:rsidR="00A65946" w:rsidRPr="0024492B" w:rsidRDefault="00C71DA7" w:rsidP="002F5A93">
      <w:pPr>
        <w:pStyle w:val="Heading1"/>
        <w:jc w:val="both"/>
        <w:rPr>
          <w:rFonts w:cstheme="majorHAnsi"/>
          <w:lang w:val="fr-CA"/>
        </w:rPr>
      </w:pPr>
      <w:r w:rsidRPr="0024492B">
        <w:rPr>
          <w:rFonts w:cstheme="majorHAnsi"/>
          <w:lang w:val="fr-CA"/>
        </w:rPr>
        <w:t>VS3 : Finances</w:t>
      </w:r>
    </w:p>
    <w:p w14:paraId="4C5BA5D0" w14:textId="77777777" w:rsidR="009216E5" w:rsidRPr="0024492B" w:rsidRDefault="00C71DA7" w:rsidP="002F5A93">
      <w:pPr>
        <w:pStyle w:val="Heading2"/>
        <w:jc w:val="both"/>
        <w:rPr>
          <w:rFonts w:cstheme="majorHAnsi"/>
          <w:lang w:val="fr-CA"/>
        </w:rPr>
      </w:pPr>
      <w:r w:rsidRPr="0024492B">
        <w:rPr>
          <w:rFonts w:cstheme="majorHAnsi"/>
          <w:lang w:val="fr-CA"/>
        </w:rPr>
        <w:t>Agriculture et Agroalimentaire Canada (AAC)</w:t>
      </w:r>
    </w:p>
    <w:p w14:paraId="72F4F101"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L’accent mis par AAC sur un modèle de recouvrement des coûts pour les licences de logiciels géospatiaux s’aligne sur les objectifs financiers de la VS3. En mettant en œuvre des mesures de suivi et de recouvrement des coûts, AAC assure la viabilité financière et gère efficacement les ressources en données géospatiales, soutenant ainsi les objectifs financiers de la VS3.</w:t>
      </w:r>
    </w:p>
    <w:p w14:paraId="7CE9AA76" w14:textId="77777777" w:rsidR="00C80E8E" w:rsidRPr="0024492B" w:rsidRDefault="00C71DA7" w:rsidP="00C80E8E">
      <w:pPr>
        <w:pStyle w:val="Heading2"/>
        <w:jc w:val="both"/>
        <w:rPr>
          <w:rFonts w:cstheme="majorHAnsi"/>
          <w:lang w:val="fr-CA"/>
        </w:rPr>
      </w:pPr>
      <w:r w:rsidRPr="0024492B">
        <w:rPr>
          <w:rFonts w:cstheme="majorHAnsi"/>
          <w:lang w:val="fr-CA"/>
        </w:rPr>
        <w:t>Ministère des Pêches et des Océans (MPO)</w:t>
      </w:r>
    </w:p>
    <w:p w14:paraId="2B3D64DC" w14:textId="77777777" w:rsidR="00C80E8E" w:rsidRPr="0024492B" w:rsidRDefault="00C71DA7" w:rsidP="00C80E8E">
      <w:pPr>
        <w:jc w:val="both"/>
        <w:rPr>
          <w:rFonts w:asciiTheme="majorHAnsi" w:hAnsiTheme="majorHAnsi" w:cstheme="majorHAnsi"/>
          <w:lang w:val="fr-CA"/>
        </w:rPr>
      </w:pPr>
      <w:r w:rsidRPr="0024492B">
        <w:rPr>
          <w:rFonts w:asciiTheme="majorHAnsi" w:hAnsiTheme="majorHAnsi" w:cstheme="majorHAnsi"/>
          <w:lang w:val="fr-CA"/>
        </w:rPr>
        <w:t>Le MPO contribue aux objectifs financiers de la VS3 en mettant en œuvre des protocoles efficaces de partage des données dans le cadre de ses programmes de navigation maritime et de conservation de l’environnement. En s’alignant sur les normes internationales, le MPO bénéficie d’un accès rentable aux ressources de données, ce qui favorise la viabilité financière et s’aligne sur l’accent mis par la VS3 sur l’utilisation prudente des ressources.</w:t>
      </w:r>
    </w:p>
    <w:p w14:paraId="38E561CF" w14:textId="77777777" w:rsidR="00C80E8E" w:rsidRPr="0024492B" w:rsidRDefault="00C71DA7" w:rsidP="00C80E8E">
      <w:pPr>
        <w:pStyle w:val="Heading2"/>
        <w:jc w:val="both"/>
        <w:rPr>
          <w:rFonts w:cstheme="majorHAnsi"/>
          <w:lang w:val="fr-CA"/>
        </w:rPr>
      </w:pPr>
      <w:r w:rsidRPr="0024492B">
        <w:rPr>
          <w:rFonts w:cstheme="majorHAnsi"/>
          <w:lang w:val="fr-CA"/>
        </w:rPr>
        <w:t>Ressources naturelles Canada – Centre canadien de cartographie et d’observation de la Terre (RNCan-CCCOT)</w:t>
      </w:r>
    </w:p>
    <w:p w14:paraId="52E60B67" w14:textId="1ABB7425" w:rsidR="00C80E8E" w:rsidRPr="0024492B" w:rsidRDefault="00C71DA7" w:rsidP="00C80E8E">
      <w:pPr>
        <w:jc w:val="both"/>
        <w:rPr>
          <w:rFonts w:asciiTheme="majorHAnsi" w:hAnsiTheme="majorHAnsi" w:cstheme="majorHAnsi"/>
          <w:lang w:val="fr-CA"/>
        </w:rPr>
      </w:pPr>
      <w:r w:rsidRPr="0024492B">
        <w:rPr>
          <w:rFonts w:asciiTheme="majorHAnsi" w:hAnsiTheme="majorHAnsi" w:cstheme="majorHAnsi"/>
          <w:lang w:val="fr-CA"/>
        </w:rPr>
        <w:t>L’utilisation par RNCan-CCCOT de la gouvernance des données ouvertes et de l’initiative GéoBase s’aligne sur les objectifs financiers de la VS3 en réduisant les coûts de partage des données et en promouvant des opérations géospatiales économes en ressources. De plus, le financement est distribué par l’intermédiaire de grands programmes nationaux comme le Programme d’identification et de cartographie des aléas d’inondation (PICAI), qui a contribué à hauteur de 52 millions de dollars en investissements à frais partagés dans la phase 1 et prévoit une allocation fédérale totale de 64,6 millions de dollars pour la phase 2. L’accent mis par le CCCOT sur les produits d’intervention d’urgence garantit des solutions rentables pour les scénarios hautement prioritaires.</w:t>
      </w:r>
    </w:p>
    <w:p w14:paraId="39CEA867" w14:textId="77777777" w:rsidR="009216E5" w:rsidRPr="0024492B" w:rsidRDefault="00C71DA7" w:rsidP="002F5A93">
      <w:pPr>
        <w:pStyle w:val="Heading2"/>
        <w:jc w:val="both"/>
        <w:rPr>
          <w:rFonts w:cstheme="majorHAnsi"/>
          <w:lang w:val="fr-CA"/>
        </w:rPr>
      </w:pPr>
      <w:r w:rsidRPr="0024492B">
        <w:rPr>
          <w:rFonts w:cstheme="majorHAnsi"/>
          <w:lang w:val="fr-CA"/>
        </w:rPr>
        <w:t>Alberta</w:t>
      </w:r>
    </w:p>
    <w:p w14:paraId="481F46C4" w14:textId="583E2B3B"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L’approche structurée de l’Alberta en matière d’acquisition et de gestion des données s’aligne sur la VS3 en permettant des interventions rentables en cas d’urgence.</w:t>
      </w:r>
      <w:r w:rsidR="002D5B5E" w:rsidRPr="0024492B">
        <w:rPr>
          <w:rFonts w:asciiTheme="majorHAnsi" w:hAnsiTheme="majorHAnsi" w:cstheme="majorHAnsi"/>
          <w:lang w:val="fr-CA"/>
        </w:rPr>
        <w:t xml:space="preserve"> Son</w:t>
      </w:r>
      <w:r w:rsidRPr="0024492B">
        <w:rPr>
          <w:rFonts w:asciiTheme="majorHAnsi" w:hAnsiTheme="majorHAnsi" w:cstheme="majorHAnsi"/>
          <w:lang w:val="fr-CA"/>
        </w:rPr>
        <w:t xml:space="preserve"> cadre de gouvernance garantit une utilisation efficace des ressources pour les données environnementales, contribuant ainsi aux objectifs de la VS3 en matière de pratiques géospatiales durables et financièrement saines.</w:t>
      </w:r>
    </w:p>
    <w:p w14:paraId="72EAB4C0" w14:textId="77777777" w:rsidR="009216E5" w:rsidRPr="0024492B" w:rsidRDefault="00C71DA7" w:rsidP="002F5A93">
      <w:pPr>
        <w:pStyle w:val="Heading2"/>
        <w:jc w:val="both"/>
        <w:rPr>
          <w:rFonts w:cstheme="majorHAnsi"/>
          <w:lang w:val="fr-CA"/>
        </w:rPr>
      </w:pPr>
      <w:r w:rsidRPr="0024492B">
        <w:rPr>
          <w:rFonts w:cstheme="majorHAnsi"/>
          <w:lang w:val="fr-CA"/>
        </w:rPr>
        <w:t>Colombie-Britannique</w:t>
      </w:r>
    </w:p>
    <w:p w14:paraId="31252B01"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 xml:space="preserve">Les investissements de la Colombie-Britannique dans le programme de collecte LiDAR soutiennent les objectifs financiers de la VS3 en fournissant des données essentielles qui réduisent la nécessité </w:t>
      </w:r>
      <w:r w:rsidRPr="0024492B">
        <w:rPr>
          <w:rFonts w:asciiTheme="majorHAnsi" w:hAnsiTheme="majorHAnsi" w:cstheme="majorHAnsi"/>
          <w:lang w:val="fr-CA"/>
        </w:rPr>
        <w:lastRenderedPageBreak/>
        <w:t>d’effectuer des levés coûteux et répétés. Son approche stratégique de l’allocation des ressources au sein du secteur des ressources naturelles garantit l’efficacité financière de la gouvernance des données géospatiales, conformément aux objectifs de la VS3.</w:t>
      </w:r>
    </w:p>
    <w:p w14:paraId="1BA65BE7" w14:textId="77777777" w:rsidR="009216E5" w:rsidRPr="0024492B" w:rsidRDefault="00C71DA7" w:rsidP="002F5A93">
      <w:pPr>
        <w:pStyle w:val="Heading2"/>
        <w:jc w:val="both"/>
        <w:rPr>
          <w:rFonts w:cstheme="majorHAnsi"/>
          <w:lang w:val="fr-CA"/>
        </w:rPr>
      </w:pPr>
      <w:r w:rsidRPr="0024492B">
        <w:rPr>
          <w:rFonts w:cstheme="majorHAnsi"/>
          <w:lang w:val="fr-CA"/>
        </w:rPr>
        <w:t>Manitoba</w:t>
      </w:r>
    </w:p>
    <w:p w14:paraId="58206FE7" w14:textId="7A71F8CA"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transition du Manitoba vers ArcGIS Online s’aligne sur les objectifs financiers de la VS3 en réduisant les coûts associés à des systèmes de gestion de données obsolètes. Sa stratégie visant à garantir un financement réservé pour un cadre géospatial à l’échelle de la province assure un soutien financier durable, répondant aux objectifs de la VS3 en matière d’investissements géospatiaux rentables et à long terme. La province planifie de poursuivre les efforts déployés pour inciter les cadres du gouvernement du Manitoba à financer une stratégie géospatiale exhaustive afin de commencer l’élaboration, entre autres, d’une infrastructure, d’une gouvernance, de politiques et de ressources normalisées.</w:t>
      </w:r>
    </w:p>
    <w:p w14:paraId="3411DF8C" w14:textId="77777777" w:rsidR="009216E5" w:rsidRPr="0024492B" w:rsidRDefault="00C71DA7" w:rsidP="002F5A93">
      <w:pPr>
        <w:pStyle w:val="Heading2"/>
        <w:jc w:val="both"/>
        <w:rPr>
          <w:rFonts w:cstheme="majorHAnsi"/>
          <w:lang w:val="fr-CA"/>
        </w:rPr>
      </w:pPr>
      <w:r w:rsidRPr="0024492B">
        <w:rPr>
          <w:rFonts w:cstheme="majorHAnsi"/>
          <w:lang w:val="fr-CA"/>
        </w:rPr>
        <w:t>Nouveau-Brunswick</w:t>
      </w:r>
    </w:p>
    <w:p w14:paraId="2CB9C99D" w14:textId="072C9856"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 Nouveau-Brunswick prévoit de partager les coûts de la collecte des données avec les municipalités. La province a noté que les ressources (humaines et financières) constituent l’un des défis actuels. Ses plans de consolidation visent à réduire les dépenses globales en matière de systèmes de données, contribuant ainsi à l’accent mis par la VS3 sur l’efficacité financière des opérations géospatiales.</w:t>
      </w:r>
    </w:p>
    <w:p w14:paraId="6E785803" w14:textId="77777777" w:rsidR="009216E5" w:rsidRPr="0024492B" w:rsidRDefault="00C71DA7" w:rsidP="002F5A93">
      <w:pPr>
        <w:pStyle w:val="Heading2"/>
        <w:jc w:val="both"/>
        <w:rPr>
          <w:rFonts w:cstheme="majorHAnsi"/>
          <w:lang w:val="fr-CA"/>
        </w:rPr>
      </w:pPr>
      <w:r w:rsidRPr="0024492B">
        <w:rPr>
          <w:rFonts w:cstheme="majorHAnsi"/>
          <w:lang w:val="fr-CA"/>
        </w:rPr>
        <w:t>Terre-Neuve-et-Labrador</w:t>
      </w:r>
    </w:p>
    <w:p w14:paraId="19D54BFA"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migration des données ouvertes de Terre-Neuve sur la plateforme géospatiale du gouvernement de Terre-Neuve-et-Labrador offre une solution rentable pour l’accès aux données et leur distribution. Ce changement s’inscrit dans les objectifs financiers de la VS3 en réduisant les coûts liés au dédoublement des données et en favorisant une utilisation efficace des ressources.</w:t>
      </w:r>
    </w:p>
    <w:p w14:paraId="11A76134" w14:textId="77777777" w:rsidR="009216E5" w:rsidRPr="0024492B" w:rsidRDefault="00C71DA7" w:rsidP="002F5A93">
      <w:pPr>
        <w:pStyle w:val="Heading2"/>
        <w:jc w:val="both"/>
        <w:rPr>
          <w:rFonts w:cstheme="majorHAnsi"/>
          <w:lang w:val="fr-CA"/>
        </w:rPr>
      </w:pPr>
      <w:r w:rsidRPr="0024492B">
        <w:rPr>
          <w:rFonts w:cstheme="majorHAnsi"/>
          <w:lang w:val="fr-CA"/>
        </w:rPr>
        <w:t>Nouvelle-Écosse</w:t>
      </w:r>
    </w:p>
    <w:p w14:paraId="6BACF986" w14:textId="77777777" w:rsidR="00BB7C8D" w:rsidRPr="00BB7C8D" w:rsidRDefault="00BB7C8D" w:rsidP="00BB7C8D">
      <w:pPr>
        <w:jc w:val="both"/>
        <w:rPr>
          <w:rFonts w:asciiTheme="majorHAnsi" w:hAnsiTheme="majorHAnsi" w:cstheme="majorHAnsi"/>
          <w:lang w:val="fr-CA"/>
        </w:rPr>
      </w:pPr>
      <w:r w:rsidRPr="00BB7C8D">
        <w:rPr>
          <w:rFonts w:asciiTheme="majorHAnsi" w:hAnsiTheme="majorHAnsi" w:cstheme="majorHAnsi"/>
          <w:lang w:val="fr-CA"/>
        </w:rPr>
        <w:t>L’infrastructure partagée de données spatiales de la Nouvelle-Écosse favorise la collaboration et minimise les coûts de maintenance et les ressources associés aux systèmes sur place. On recherche les possibilités de partager des coûts pour la photographie, LiDAR, etc., afin de maximiser l’efficacité financière.</w:t>
      </w:r>
    </w:p>
    <w:p w14:paraId="4A5CF5EA" w14:textId="77777777" w:rsidR="009216E5" w:rsidRPr="0024492B" w:rsidRDefault="00C71DA7" w:rsidP="002F5A93">
      <w:pPr>
        <w:pStyle w:val="Heading2"/>
        <w:jc w:val="both"/>
        <w:rPr>
          <w:rFonts w:cstheme="majorHAnsi"/>
          <w:lang w:val="fr-CA"/>
        </w:rPr>
      </w:pPr>
      <w:r w:rsidRPr="0024492B">
        <w:rPr>
          <w:rFonts w:cstheme="majorHAnsi"/>
          <w:lang w:val="fr-CA"/>
        </w:rPr>
        <w:t>Nunavut</w:t>
      </w:r>
    </w:p>
    <w:p w14:paraId="688A85DA" w14:textId="7CFACC4F"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plateforme de données ouvertes du Nunavut offre une solution financièrement efficace pour le partage des données, et soutient les objectifs de la VS3 en réduisant le nombre de demandes de données effectuées en double. Son approche garantit un accès durable et rentable aux données, conformément aux objectifs financiers de la VS3.</w:t>
      </w:r>
    </w:p>
    <w:p w14:paraId="253DFC1A" w14:textId="775C0765" w:rsidR="009216E5" w:rsidRPr="0024492B" w:rsidRDefault="00C71DA7" w:rsidP="5502CF07">
      <w:pPr>
        <w:pStyle w:val="Heading2"/>
        <w:jc w:val="both"/>
        <w:rPr>
          <w:lang w:val="fr-CA"/>
        </w:rPr>
      </w:pPr>
      <w:r w:rsidRPr="0024492B">
        <w:rPr>
          <w:lang w:val="fr-CA"/>
        </w:rPr>
        <w:t>Québec</w:t>
      </w:r>
    </w:p>
    <w:p w14:paraId="2EDA3F94" w14:textId="71FB80D0" w:rsidR="3705E6B3" w:rsidRPr="0024492B" w:rsidRDefault="00C71DA7" w:rsidP="5502CF07">
      <w:pPr>
        <w:jc w:val="both"/>
        <w:rPr>
          <w:rFonts w:asciiTheme="majorHAnsi" w:hAnsiTheme="majorHAnsi" w:cstheme="majorBidi"/>
          <w:lang w:val="fr-CA"/>
        </w:rPr>
      </w:pPr>
      <w:r w:rsidRPr="0024492B">
        <w:rPr>
          <w:rFonts w:asciiTheme="majorHAnsi" w:hAnsiTheme="majorHAnsi" w:cstheme="majorBidi"/>
          <w:lang w:val="fr-CA"/>
        </w:rPr>
        <w:t xml:space="preserve">L’approche québécoise en matière d’acquisition et d’intégration de données soutient les objectifs financiers de la VS3 en optimisant l’utilisation des ressources dans toutes les juridictions. Leur </w:t>
      </w:r>
      <w:r w:rsidRPr="0024492B">
        <w:rPr>
          <w:rFonts w:asciiTheme="majorHAnsi" w:hAnsiTheme="majorHAnsi" w:cstheme="majorBidi"/>
          <w:lang w:val="fr-CA"/>
        </w:rPr>
        <w:lastRenderedPageBreak/>
        <w:t>stratégie visant à coordonner les données de protection contre les inondations avec d’autres agences minimise la duplication et s’aligne sur l’accent mis par la VS3 sur des solutions de données rentables.</w:t>
      </w:r>
    </w:p>
    <w:p w14:paraId="6BD75F65" w14:textId="77777777" w:rsidR="009216E5" w:rsidRPr="0024492B" w:rsidRDefault="00C71DA7" w:rsidP="002F5A93">
      <w:pPr>
        <w:pStyle w:val="Heading2"/>
        <w:jc w:val="both"/>
        <w:rPr>
          <w:rFonts w:cstheme="majorHAnsi"/>
          <w:lang w:val="fr-CA"/>
        </w:rPr>
      </w:pPr>
      <w:r w:rsidRPr="0024492B">
        <w:rPr>
          <w:rFonts w:cstheme="majorHAnsi"/>
          <w:lang w:val="fr-CA"/>
        </w:rPr>
        <w:t>Yukon</w:t>
      </w:r>
    </w:p>
    <w:p w14:paraId="407398C8"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solution d’imputation des coûts des licences ESRI du Yukon s’aligne sur les objectifs financiers de la VS3 en répartissant équitablement les coûts des licences entre les ministères. Son approche de la centralisation des ressources géospatiales favorise l’efficacité financière et répond aux objectifs de la VS3 en matière de gestion durable des ressources.</w:t>
      </w:r>
    </w:p>
    <w:p w14:paraId="3DAB95B1" w14:textId="6D48ED38" w:rsidR="00A65946" w:rsidRPr="0024492B" w:rsidRDefault="00C71DA7" w:rsidP="002F5A93">
      <w:pPr>
        <w:pStyle w:val="Heading1"/>
        <w:jc w:val="both"/>
        <w:rPr>
          <w:rFonts w:cstheme="majorHAnsi"/>
          <w:lang w:val="fr-CA"/>
        </w:rPr>
      </w:pPr>
      <w:r w:rsidRPr="0024492B">
        <w:rPr>
          <w:rFonts w:cstheme="majorHAnsi"/>
          <w:lang w:val="fr-CA"/>
        </w:rPr>
        <w:t>VS4 : Données</w:t>
      </w:r>
    </w:p>
    <w:p w14:paraId="451E081A" w14:textId="77777777" w:rsidR="009216E5" w:rsidRPr="0024492B" w:rsidRDefault="00C71DA7" w:rsidP="002F5A93">
      <w:pPr>
        <w:pStyle w:val="Heading2"/>
        <w:jc w:val="both"/>
        <w:rPr>
          <w:rFonts w:cstheme="majorHAnsi"/>
          <w:lang w:val="fr-CA"/>
        </w:rPr>
      </w:pPr>
      <w:r w:rsidRPr="0024492B">
        <w:rPr>
          <w:rFonts w:cstheme="majorHAnsi"/>
          <w:lang w:val="fr-CA"/>
        </w:rPr>
        <w:t>Agriculture et Agroalimentaire Canada (AAC)</w:t>
      </w:r>
    </w:p>
    <w:p w14:paraId="2C29B320"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L’adhésion d’AAC aux normes FAIR en matière de données soutient la VS4 en garantissant que les ensembles de données agricoles et environnementales sont faciles à trouver, accessibles, interopérables et réutilisables. Cette approche structurée en matière de données s’aligne sur les objectifs de la VS4, soit la création de données fiables et de haute qualité au service d’un grand nombre de ministères et d’intervenants.</w:t>
      </w:r>
    </w:p>
    <w:p w14:paraId="10EC225B" w14:textId="77777777" w:rsidR="00C80E8E" w:rsidRPr="0024492B" w:rsidRDefault="00C71DA7" w:rsidP="00C80E8E">
      <w:pPr>
        <w:pStyle w:val="Heading2"/>
        <w:jc w:val="both"/>
        <w:rPr>
          <w:rFonts w:cstheme="majorHAnsi"/>
          <w:lang w:val="fr-CA"/>
        </w:rPr>
      </w:pPr>
      <w:r w:rsidRPr="0024492B">
        <w:rPr>
          <w:rFonts w:cstheme="majorHAnsi"/>
          <w:lang w:val="fr-CA"/>
        </w:rPr>
        <w:t>Ministère des Pêches et des Océans (MPO)</w:t>
      </w:r>
    </w:p>
    <w:p w14:paraId="4DEEAFA2" w14:textId="77777777" w:rsidR="00C80E8E" w:rsidRPr="0024492B" w:rsidRDefault="00C71DA7" w:rsidP="00C80E8E">
      <w:pPr>
        <w:jc w:val="both"/>
        <w:rPr>
          <w:rFonts w:asciiTheme="majorHAnsi" w:hAnsiTheme="majorHAnsi" w:cstheme="majorHAnsi"/>
          <w:lang w:val="fr-CA"/>
        </w:rPr>
      </w:pPr>
      <w:r w:rsidRPr="0024492B">
        <w:rPr>
          <w:rFonts w:asciiTheme="majorHAnsi" w:hAnsiTheme="majorHAnsi" w:cstheme="majorHAnsi"/>
          <w:lang w:val="fr-CA"/>
        </w:rPr>
        <w:t>Le MPO soutient les objectifs de la VS4 en matière de données en normalisant les données relatives à la navigation maritime et à l’environnement par l’intermédiaire de la navigation électronique. Ces protocoles de données garantissent l’interopérabilité et l’accessibilité des données géospatiales du MPO et soutiennent les objectifs de la VS4 pour des normes de données uniformes et de haute qualité dans l’ensemble des opérations maritimes.</w:t>
      </w:r>
    </w:p>
    <w:p w14:paraId="3E6C5AF1" w14:textId="37A49F8B" w:rsidR="00913B3D" w:rsidRPr="0024492B" w:rsidRDefault="00C71DA7" w:rsidP="00913B3D">
      <w:pPr>
        <w:pStyle w:val="Heading2"/>
        <w:jc w:val="both"/>
        <w:rPr>
          <w:rFonts w:cstheme="majorHAnsi"/>
          <w:lang w:val="fr-CA"/>
        </w:rPr>
      </w:pPr>
      <w:r w:rsidRPr="0024492B">
        <w:rPr>
          <w:rFonts w:cstheme="majorHAnsi"/>
          <w:lang w:val="fr-CA"/>
        </w:rPr>
        <w:t>Logement, Infrastructures et Collectivités Canada (LICC)</w:t>
      </w:r>
    </w:p>
    <w:p w14:paraId="584AECA4" w14:textId="37DF5FF1" w:rsidR="00913B3D" w:rsidRPr="0024492B" w:rsidRDefault="00C71DA7" w:rsidP="00E66C3E">
      <w:pPr>
        <w:jc w:val="both"/>
        <w:rPr>
          <w:rFonts w:asciiTheme="majorHAnsi" w:hAnsiTheme="majorHAnsi" w:cstheme="majorHAnsi"/>
          <w:lang w:val="fr-CA"/>
        </w:rPr>
      </w:pPr>
      <w:r w:rsidRPr="0024492B">
        <w:rPr>
          <w:rFonts w:asciiTheme="majorHAnsi" w:hAnsiTheme="majorHAnsi" w:cstheme="majorHAnsi"/>
          <w:lang w:val="fr-CA"/>
        </w:rPr>
        <w:t>Les travaux actuels de LICC visent à combler les lacunes importantes en matière de données, à développer des données ouvertes et accessibles sur les infrastructures, le logement et les collectivités, et à améliorer l’accès aux données géospatiales grâce à l’outil de cartographie des projets d’infrastructure. Il prévoit de créer et de concevoir des produits et des outils de données novateurs : Indice des coûts du logement et du transport, Indice d’équité environnementale, Registre des infrastructures et Infrastructures essentielles.</w:t>
      </w:r>
    </w:p>
    <w:p w14:paraId="63C4EB4F" w14:textId="77777777" w:rsidR="00C80E8E" w:rsidRPr="0024492B" w:rsidRDefault="00C71DA7" w:rsidP="00C80E8E">
      <w:pPr>
        <w:pStyle w:val="Heading2"/>
        <w:jc w:val="both"/>
        <w:rPr>
          <w:rFonts w:cstheme="majorHAnsi"/>
          <w:lang w:val="fr-CA"/>
        </w:rPr>
      </w:pPr>
      <w:r w:rsidRPr="0024492B">
        <w:rPr>
          <w:rFonts w:cstheme="majorHAnsi"/>
          <w:lang w:val="fr-CA"/>
        </w:rPr>
        <w:t>Ressources naturelles Canada – Centre canadien de cartographie et d’observation de la Terre (RNCan-CCCOT)</w:t>
      </w:r>
    </w:p>
    <w:p w14:paraId="148419A8" w14:textId="22247F66" w:rsidR="00C80E8E" w:rsidRPr="0024492B" w:rsidRDefault="00C71DA7" w:rsidP="1D7C572A">
      <w:pPr>
        <w:jc w:val="both"/>
        <w:rPr>
          <w:rFonts w:asciiTheme="majorHAnsi" w:hAnsiTheme="majorHAnsi" w:cstheme="majorBidi"/>
          <w:lang w:val="fr-CA"/>
        </w:rPr>
      </w:pPr>
      <w:r w:rsidRPr="0024492B">
        <w:rPr>
          <w:rFonts w:asciiTheme="majorHAnsi" w:hAnsiTheme="majorHAnsi" w:cstheme="majorBidi"/>
          <w:lang w:val="fr-CA"/>
        </w:rPr>
        <w:t xml:space="preserve">Le programme GéoBase, GEO.ca, et les progrès de RNCan-CCCOT en matière d’accès aux données ouvertes soutiennent les objectifs de la VS4 concernant les données en facilitant l’accès à des données fiables ainsi que leur utilisation dans toutes les administrations. De plus, RNCan-CCCOT fournit des données, via l’acquisition d’images satellites à haute résolution par l’intermédiaire de GéoIA, a achevé la recherche de données ouvertes fédérées avec une maintenance continue des </w:t>
      </w:r>
      <w:r w:rsidRPr="0024492B">
        <w:rPr>
          <w:rFonts w:asciiTheme="majorHAnsi" w:hAnsiTheme="majorHAnsi" w:cstheme="majorBidi"/>
          <w:lang w:val="fr-CA"/>
        </w:rPr>
        <w:lastRenderedPageBreak/>
        <w:t xml:space="preserve">nouvelles données des provinces et territoires qui sont mises à jour sur une base hebdomadaire, et a mis en place l’infrastructure pour intégrer des données ouvertes en matière d’observation de la Terre. De nouvelles pages d’initiatives améliorées ont également été publiées sur GEO.ca pour faciliter la recherche et la découverte des données. Les contributions de GéoBase, du CCT et de GéoDécouverte à la cartographie des interventions d’urgence garantissent que les données sont opportunes et de haute qualité, conformément à l’accent mis par la VS4 sur les normes de qualité des données. </w:t>
      </w:r>
    </w:p>
    <w:p w14:paraId="56C998C2" w14:textId="77777777" w:rsidR="009216E5" w:rsidRPr="0024492B" w:rsidRDefault="00C71DA7" w:rsidP="002F5A93">
      <w:pPr>
        <w:pStyle w:val="Heading2"/>
        <w:jc w:val="both"/>
        <w:rPr>
          <w:rFonts w:cstheme="majorHAnsi"/>
          <w:lang w:val="fr-CA"/>
        </w:rPr>
      </w:pPr>
      <w:r w:rsidRPr="0024492B">
        <w:rPr>
          <w:rFonts w:cstheme="majorHAnsi"/>
          <w:lang w:val="fr-CA"/>
        </w:rPr>
        <w:t>Alberta</w:t>
      </w:r>
    </w:p>
    <w:p w14:paraId="0EF624EB"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L’approche structurée de l’Alberta en matière d’acquisition de données et de programmes de données fondamentales soutient la VS4 en établissant des normes de données cohérentes pour les données relatives aux urgences et à l’environnement. Cette approche s’aligne sur les objectifs de la VS4 en garantissant la qualité et l’accessibilité des données dans tous les secteurs du gouvernement.</w:t>
      </w:r>
    </w:p>
    <w:p w14:paraId="13F30811" w14:textId="77777777" w:rsidR="009216E5" w:rsidRPr="0024492B" w:rsidRDefault="00C71DA7" w:rsidP="002F5A93">
      <w:pPr>
        <w:pStyle w:val="Heading2"/>
        <w:jc w:val="both"/>
        <w:rPr>
          <w:rFonts w:cstheme="majorHAnsi"/>
          <w:lang w:val="fr-CA"/>
        </w:rPr>
      </w:pPr>
      <w:r w:rsidRPr="0024492B">
        <w:rPr>
          <w:rFonts w:cstheme="majorHAnsi"/>
          <w:lang w:val="fr-CA"/>
        </w:rPr>
        <w:t>Colombie-Britannique</w:t>
      </w:r>
    </w:p>
    <w:p w14:paraId="6D892C98" w14:textId="1F9A9A2D"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 xml:space="preserve">La Colombie-Britannique se concentre sur le soutien opportun et ciblé des priorités </w:t>
      </w:r>
      <w:r w:rsidR="00127F38" w:rsidRPr="0024492B">
        <w:rPr>
          <w:rFonts w:asciiTheme="majorHAnsi" w:hAnsiTheme="majorHAnsi" w:cstheme="majorHAnsi"/>
          <w:lang w:val="fr-CA"/>
        </w:rPr>
        <w:t>en matière de</w:t>
      </w:r>
      <w:r w:rsidRPr="0024492B">
        <w:rPr>
          <w:rFonts w:asciiTheme="majorHAnsi" w:hAnsiTheme="majorHAnsi" w:cstheme="majorHAnsi"/>
          <w:lang w:val="fr-CA"/>
        </w:rPr>
        <w:t xml:space="preserve"> ressources naturelles en veillant à ce que les données géospatiales soient gérées comme un bien public stratégique. Elle le fait par l’intermédiaire de son programme GeoBC and NR Sector Data Services et de ses directions générales Foundational Information and Technology, Analytics and Visualization Services, et Integrated Data and Analysis Services. Le programme de collecte LiDAR et la stratégie géospatiale du secteur des ressources naturelles s’alignent sur la VS4 en améliorant la précision et l’utilité des données géospatiales. Ses initiatives en matière de gouvernance des données dans le secteur des ressources naturelles garantissent l’uniformité et la fiabilité des données, soutenant ainsi l’accent mis par la VS4 sur des normes de données de haute qualité.</w:t>
      </w:r>
    </w:p>
    <w:p w14:paraId="03538E84" w14:textId="77777777" w:rsidR="009216E5" w:rsidRPr="0024492B" w:rsidRDefault="00C71DA7" w:rsidP="002F5A93">
      <w:pPr>
        <w:pStyle w:val="Heading2"/>
        <w:jc w:val="both"/>
        <w:rPr>
          <w:rFonts w:cstheme="majorHAnsi"/>
          <w:lang w:val="fr-CA"/>
        </w:rPr>
      </w:pPr>
      <w:r w:rsidRPr="0024492B">
        <w:rPr>
          <w:rFonts w:cstheme="majorHAnsi"/>
          <w:lang w:val="fr-CA"/>
        </w:rPr>
        <w:t>Manitoba</w:t>
      </w:r>
    </w:p>
    <w:p w14:paraId="378F019F"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migration du Manitoba vers ArcGIS Online soutient la VS4 en améliorant l’accessibilité et l’interopérabilité des données dans la province. Cette transition améliore le contrôle de la qualité des données et s’aligne sur les objectifs de la VS4 en matière de partage et de normalisation des données entre les ministères.</w:t>
      </w:r>
    </w:p>
    <w:p w14:paraId="02CCE044" w14:textId="77777777" w:rsidR="009216E5" w:rsidRPr="0024492B" w:rsidRDefault="00C71DA7" w:rsidP="002F5A93">
      <w:pPr>
        <w:pStyle w:val="Heading2"/>
        <w:jc w:val="both"/>
        <w:rPr>
          <w:rFonts w:cstheme="majorHAnsi"/>
          <w:lang w:val="fr-CA"/>
        </w:rPr>
      </w:pPr>
      <w:r w:rsidRPr="0024492B">
        <w:rPr>
          <w:rFonts w:cstheme="majorHAnsi"/>
          <w:lang w:val="fr-CA"/>
        </w:rPr>
        <w:t>Nouveau-Brunswick</w:t>
      </w:r>
    </w:p>
    <w:p w14:paraId="08C44515"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L’accent mis par le Nouveau-Brunswick sur l’amélioration des données fondamentales, y compris les données relatives à l’adressage et aux routes, s’aligne sur les objectifs de la VS4 en matière de données en améliorant l’exactitude des données et en veillant à ce que les principaux ensembles de données soient accessibles pour une utilisation interministérielle. Ses efforts de consolidation des données améliorent la qualité et l’uniformité des données géospatiales dans la province.</w:t>
      </w:r>
    </w:p>
    <w:p w14:paraId="6C9AE8D5" w14:textId="77777777" w:rsidR="009216E5" w:rsidRPr="0024492B" w:rsidRDefault="00C71DA7" w:rsidP="002F5A93">
      <w:pPr>
        <w:pStyle w:val="Heading2"/>
        <w:jc w:val="both"/>
        <w:rPr>
          <w:rFonts w:cstheme="majorHAnsi"/>
          <w:lang w:val="fr-CA"/>
        </w:rPr>
      </w:pPr>
      <w:r w:rsidRPr="0024492B">
        <w:rPr>
          <w:rFonts w:cstheme="majorHAnsi"/>
          <w:lang w:val="fr-CA"/>
        </w:rPr>
        <w:t>Terre-Neuve-et-Labrador</w:t>
      </w:r>
    </w:p>
    <w:p w14:paraId="0DE318AD"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plateforme géospatiale du gouvernement de Terre-Neuve-et-Labrador et la migration de la province vers des plateformes de données ouvertes soutiennent les objectifs de la VS4 en matière de données en rendant les données provinciales plus accessibles et mieux organisées. Le modèle de données ouvertes favorise la transparence et la facilité d’utilisation des données, ce qui correspond à l’objectif de la VS4 de disposer d’une infrastructure de données complète.</w:t>
      </w:r>
    </w:p>
    <w:p w14:paraId="5C365F5E" w14:textId="77777777" w:rsidR="009216E5" w:rsidRPr="0024492B" w:rsidRDefault="00C71DA7" w:rsidP="002F5A93">
      <w:pPr>
        <w:pStyle w:val="Heading2"/>
        <w:jc w:val="both"/>
        <w:rPr>
          <w:rFonts w:cstheme="majorHAnsi"/>
          <w:lang w:val="fr-CA"/>
        </w:rPr>
      </w:pPr>
      <w:r w:rsidRPr="0024492B">
        <w:rPr>
          <w:rFonts w:cstheme="majorHAnsi"/>
          <w:lang w:val="fr-CA"/>
        </w:rPr>
        <w:t>Territoires du Nord-Ouest</w:t>
      </w:r>
    </w:p>
    <w:p w14:paraId="2CF56DAB"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Les efforts des Territoires du Nord-Ouest pour réorganiser les dépôts de données matricielles et mettre en place des outils cartographiques en libre-service soutiennent les objectifs de la VS4 en matière de données en améliorant l’accessibilité des données. L’accent mis sur la normalisation et la simplification du stockage des données s’aligne sur les objectifs de la VS4 en matière de qualité et de facilité d’utilisation dans la gestion des données.</w:t>
      </w:r>
    </w:p>
    <w:p w14:paraId="5E7D0EC3" w14:textId="77777777" w:rsidR="009216E5" w:rsidRPr="0024492B" w:rsidRDefault="00C71DA7" w:rsidP="002F5A93">
      <w:pPr>
        <w:pStyle w:val="Heading2"/>
        <w:jc w:val="both"/>
        <w:rPr>
          <w:rFonts w:cstheme="majorHAnsi"/>
          <w:lang w:val="fr-CA"/>
        </w:rPr>
      </w:pPr>
      <w:r w:rsidRPr="0024492B">
        <w:rPr>
          <w:rFonts w:cstheme="majorHAnsi"/>
          <w:lang w:val="fr-CA"/>
        </w:rPr>
        <w:t>Nouvelle-Écosse</w:t>
      </w:r>
    </w:p>
    <w:p w14:paraId="50584F4A" w14:textId="77777777" w:rsidR="00BB7C8D" w:rsidRPr="00BB7C8D" w:rsidRDefault="00BB7C8D" w:rsidP="00BB7C8D">
      <w:pPr>
        <w:jc w:val="both"/>
        <w:rPr>
          <w:rFonts w:asciiTheme="majorHAnsi" w:hAnsiTheme="majorHAnsi" w:cstheme="majorHAnsi"/>
          <w:lang w:val="fr-CA"/>
        </w:rPr>
      </w:pPr>
      <w:r w:rsidRPr="00BB7C8D">
        <w:rPr>
          <w:rFonts w:asciiTheme="majorHAnsi" w:hAnsiTheme="majorHAnsi" w:cstheme="majorHAnsi"/>
          <w:lang w:val="fr-CA"/>
        </w:rPr>
        <w:t>L’infrastructure centralisée de données spatiales de la Nouvelle-Écosse et la nouvelle initiative en matière de métadonnées amélioreront l’accessibilité et l’utilisation des données dans l’ensemble des ministères. Leurs efforts pour mettre à jour de nombreuses sources de données comme les risques côtiers et les inondations cadrent avec la VS4, qui met l’accent sur l’accessibilité et la grande qualité des données visant la sécurité publique et la planification environnementale.</w:t>
      </w:r>
    </w:p>
    <w:p w14:paraId="312AE425" w14:textId="77777777" w:rsidR="009216E5" w:rsidRPr="0024492B" w:rsidRDefault="00C71DA7" w:rsidP="002F5A93">
      <w:pPr>
        <w:pStyle w:val="Heading2"/>
        <w:jc w:val="both"/>
        <w:rPr>
          <w:rFonts w:cstheme="majorHAnsi"/>
          <w:lang w:val="fr-CA"/>
        </w:rPr>
      </w:pPr>
      <w:r w:rsidRPr="0024492B">
        <w:rPr>
          <w:rFonts w:cstheme="majorHAnsi"/>
          <w:lang w:val="fr-CA"/>
        </w:rPr>
        <w:t>Nunavut</w:t>
      </w:r>
    </w:p>
    <w:p w14:paraId="557F3F20"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plateforme de données ouvertes du Nunavut et ses initiatives visant à établir des cadres de partage des données soutiennent les objectifs de la VS4 en matière de données en améliorant la transparence et l’accessibilité des données. Son approche structurée de la gestion des données géospatiales s’aligne sur l’objectif de la VS4 de maintenir des données fiables et de haute qualité.</w:t>
      </w:r>
    </w:p>
    <w:p w14:paraId="222EF1E1" w14:textId="11E257D4" w:rsidR="009216E5" w:rsidRPr="0024492B" w:rsidRDefault="00C71DA7" w:rsidP="5502CF07">
      <w:pPr>
        <w:pStyle w:val="Heading2"/>
        <w:jc w:val="both"/>
        <w:rPr>
          <w:lang w:val="fr-CA"/>
        </w:rPr>
      </w:pPr>
      <w:r w:rsidRPr="0024492B">
        <w:rPr>
          <w:lang w:val="fr-CA"/>
        </w:rPr>
        <w:t>Québec</w:t>
      </w:r>
    </w:p>
    <w:p w14:paraId="1B38A18B" w14:textId="2F432A57" w:rsidR="7490E70F" w:rsidRPr="0024492B" w:rsidRDefault="00C71DA7" w:rsidP="5502CF07">
      <w:pPr>
        <w:jc w:val="both"/>
        <w:rPr>
          <w:rFonts w:asciiTheme="majorHAnsi" w:hAnsiTheme="majorHAnsi" w:cstheme="majorBidi"/>
          <w:lang w:val="fr-CA"/>
        </w:rPr>
      </w:pPr>
      <w:r w:rsidRPr="0024492B">
        <w:rPr>
          <w:rFonts w:asciiTheme="majorHAnsi" w:hAnsiTheme="majorHAnsi" w:cstheme="majorBidi"/>
          <w:lang w:val="fr-CA"/>
        </w:rPr>
        <w:t>L’accent mis par le Québec sur l’acquisition de données géospatiales, y compris la cartographie hydrographique et de la couverture terrestre, soutient la VS4 en fournissant des données précises et à haute résolution pour diverses utilisations. Leurs initiatives de données ouvertes améliorent l'accessibilité et les capacités de partage de données, conformément aux objectifs de données de la VS4.</w:t>
      </w:r>
    </w:p>
    <w:p w14:paraId="2F3FA943" w14:textId="77777777" w:rsidR="009216E5" w:rsidRPr="0024492B" w:rsidRDefault="00C71DA7" w:rsidP="002F5A93">
      <w:pPr>
        <w:pStyle w:val="Heading2"/>
        <w:jc w:val="both"/>
        <w:rPr>
          <w:rFonts w:cstheme="majorHAnsi"/>
          <w:lang w:val="fr-CA"/>
        </w:rPr>
      </w:pPr>
      <w:r w:rsidRPr="0024492B">
        <w:rPr>
          <w:rFonts w:cstheme="majorHAnsi"/>
          <w:lang w:val="fr-CA"/>
        </w:rPr>
        <w:t>Yukon</w:t>
      </w:r>
    </w:p>
    <w:p w14:paraId="384D3F70"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Les mises à jour d’ESRI Enterprise et d’ArcGIS au Yukon soutiennent les objectifs de la VS4 en matière de données en garantissant l’accessibilité et la qualité des données. L’accent mis sur l’intégration de couches de données relatives aux infrastructures essentielles s’aligne sur l’importance accordée par la VS4 à une infrastructure de données géospatiales fiable et accessible.</w:t>
      </w:r>
    </w:p>
    <w:p w14:paraId="3A67BC1C" w14:textId="1317A25B" w:rsidR="00A65946" w:rsidRPr="0024492B" w:rsidRDefault="00C71DA7" w:rsidP="002F5A93">
      <w:pPr>
        <w:pStyle w:val="Heading1"/>
        <w:jc w:val="both"/>
        <w:rPr>
          <w:rFonts w:cstheme="majorHAnsi"/>
          <w:lang w:val="fr-CA"/>
        </w:rPr>
      </w:pPr>
      <w:r w:rsidRPr="0024492B">
        <w:rPr>
          <w:rFonts w:cstheme="majorHAnsi"/>
          <w:lang w:val="fr-CA"/>
        </w:rPr>
        <w:t>VS5 : Innovation</w:t>
      </w:r>
    </w:p>
    <w:p w14:paraId="3CBF3D9E" w14:textId="77777777" w:rsidR="009216E5" w:rsidRPr="0024492B" w:rsidRDefault="00C71DA7" w:rsidP="002F5A93">
      <w:pPr>
        <w:pStyle w:val="Heading2"/>
        <w:jc w:val="both"/>
        <w:rPr>
          <w:rFonts w:cstheme="majorHAnsi"/>
          <w:lang w:val="fr-CA"/>
        </w:rPr>
      </w:pPr>
      <w:r w:rsidRPr="0024492B">
        <w:rPr>
          <w:rFonts w:cstheme="majorHAnsi"/>
          <w:lang w:val="fr-CA"/>
        </w:rPr>
        <w:t>Agriculture et Agroalimentaire Canada (AAC)</w:t>
      </w:r>
    </w:p>
    <w:p w14:paraId="0FABACCB" w14:textId="0EC10702"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 xml:space="preserve">L’utilisation par AAC des normes de données FAIR dans le cadre du programme d’agrogéomatique soutient les objectifs d’innovation de la VS5 en créant des systèmes de données interopérables qui favorisent de nouvelles utilisations dans le domaine de la surveillance agricole. Son approche novatrice en matière de données géospatiales en tant que « facilitateur silencieux » s’aligne sur l’accent mis par la VS5 sur les applications de données avancées. De plus, AAC a mis l’accent sur l’augmentation rapide de l’utilisation des licences de logiciels géospatiaux au-delà du CAGOT. </w:t>
      </w:r>
    </w:p>
    <w:p w14:paraId="46C5ACAF" w14:textId="77777777" w:rsidR="00C80E8E" w:rsidRPr="0024492B" w:rsidRDefault="00C71DA7" w:rsidP="00C80E8E">
      <w:pPr>
        <w:pStyle w:val="Heading2"/>
        <w:jc w:val="both"/>
        <w:rPr>
          <w:rFonts w:cstheme="majorHAnsi"/>
          <w:lang w:val="fr-CA"/>
        </w:rPr>
      </w:pPr>
      <w:r w:rsidRPr="0024492B">
        <w:rPr>
          <w:rFonts w:cstheme="majorHAnsi"/>
          <w:lang w:val="fr-CA"/>
        </w:rPr>
        <w:t>Ministère des Pêches et des Océans (MPO)</w:t>
      </w:r>
    </w:p>
    <w:p w14:paraId="287E8227" w14:textId="77777777" w:rsidR="00C80E8E" w:rsidRPr="0024492B" w:rsidRDefault="00C71DA7" w:rsidP="00C80E8E">
      <w:pPr>
        <w:jc w:val="both"/>
        <w:rPr>
          <w:rFonts w:asciiTheme="majorHAnsi" w:hAnsiTheme="majorHAnsi" w:cstheme="majorHAnsi"/>
          <w:lang w:val="fr-CA"/>
        </w:rPr>
      </w:pPr>
      <w:r w:rsidRPr="0024492B">
        <w:rPr>
          <w:rFonts w:asciiTheme="majorHAnsi" w:hAnsiTheme="majorHAnsi" w:cstheme="majorHAnsi"/>
          <w:lang w:val="fr-CA"/>
        </w:rPr>
        <w:t>La mise en œuvre de l’IA pour la détection des engins de pêche fantôme par le MPO s’aligne sur les objectifs d’innovation de la VS5 en utilisant la technologie pour relever les défis environnementaux et opérationnels. Son adoption des normes de navigation électronique soutient également la VS5 en promouvant des solutions de données novatrices qui renforcent la sécurité maritime.</w:t>
      </w:r>
    </w:p>
    <w:p w14:paraId="7E8CED35" w14:textId="7201EE9F" w:rsidR="00C80E8E" w:rsidRPr="0024492B" w:rsidRDefault="00C71DA7" w:rsidP="00C80E8E">
      <w:pPr>
        <w:pStyle w:val="Heading2"/>
        <w:jc w:val="both"/>
        <w:rPr>
          <w:rFonts w:cstheme="majorHAnsi"/>
          <w:lang w:val="fr-CA"/>
        </w:rPr>
      </w:pPr>
      <w:r w:rsidRPr="0024492B">
        <w:rPr>
          <w:rFonts w:cstheme="majorHAnsi"/>
          <w:lang w:val="fr-CA"/>
        </w:rPr>
        <w:t>Logement, Infrastructures et Collectivités Canada (LICC)</w:t>
      </w:r>
    </w:p>
    <w:p w14:paraId="7F7518C4" w14:textId="2590C29F" w:rsidR="00C80E8E" w:rsidRPr="0024492B" w:rsidRDefault="00C71DA7" w:rsidP="00C80E8E">
      <w:pPr>
        <w:jc w:val="both"/>
        <w:rPr>
          <w:rFonts w:asciiTheme="majorHAnsi" w:hAnsiTheme="majorHAnsi" w:cstheme="majorHAnsi"/>
          <w:b/>
          <w:bCs/>
          <w:lang w:val="fr-CA"/>
        </w:rPr>
      </w:pPr>
      <w:r w:rsidRPr="0024492B">
        <w:rPr>
          <w:rFonts w:asciiTheme="majorHAnsi" w:hAnsiTheme="majorHAnsi" w:cstheme="majorHAnsi"/>
          <w:lang w:val="fr-CA"/>
        </w:rPr>
        <w:t xml:space="preserve">LICC encourage l’innovation grâce à de nouveaux produits de données tels que l’Indice des coûts du logement et du transport et l’Indice d’équité environnementale, qui offrent de nouvelles perspectives sur les défis de l’aménagement communautaire. L’accent mis sur la planification fondée sur des données en vue d’une croissance durable témoigne de son approche avant-gardiste. </w:t>
      </w:r>
    </w:p>
    <w:p w14:paraId="3E64E476" w14:textId="77777777" w:rsidR="00C80E8E" w:rsidRPr="0024492B" w:rsidRDefault="00C71DA7" w:rsidP="00C80E8E">
      <w:pPr>
        <w:pStyle w:val="Heading2"/>
        <w:jc w:val="both"/>
        <w:rPr>
          <w:rFonts w:cstheme="majorHAnsi"/>
          <w:lang w:val="fr-CA"/>
        </w:rPr>
      </w:pPr>
      <w:r w:rsidRPr="0024492B">
        <w:rPr>
          <w:rFonts w:cstheme="majorHAnsi"/>
          <w:lang w:val="fr-CA"/>
        </w:rPr>
        <w:t>Ressources naturelles Canada – Centre canadien de cartographie et d’observation de la Terre (RNCan-CCCOT)</w:t>
      </w:r>
    </w:p>
    <w:p w14:paraId="0447335D" w14:textId="13F683B8" w:rsidR="00D53E72" w:rsidRPr="0024492B" w:rsidRDefault="00C71DA7" w:rsidP="00D53E72">
      <w:pPr>
        <w:jc w:val="both"/>
        <w:rPr>
          <w:rFonts w:asciiTheme="majorHAnsi" w:hAnsiTheme="majorHAnsi" w:cstheme="majorHAnsi"/>
          <w:lang w:val="fr-CA"/>
        </w:rPr>
      </w:pPr>
      <w:r w:rsidRPr="0024492B">
        <w:rPr>
          <w:rFonts w:asciiTheme="majorHAnsi" w:hAnsiTheme="majorHAnsi" w:cstheme="majorHAnsi"/>
          <w:lang w:val="fr-CA"/>
        </w:rPr>
        <w:t xml:space="preserve">RNCan-CCCOT tire parti des nouvelles technologies (IA + informatique en nuage) pour augmenter le taux de production de données géospatiales et remédier à la croissance des lacunes dans les données. L’ICDG met en œuvre des technologies et des systèmes logiciels innovants pour l’accès aux données géospatiales (robots d’indexation et progrès de la technologie MapML) et dirige la participation du Canada aux forums géospatiaux internationaux. Elle finance la conception et la mise en œuvre de solutions novatrices et normalisées pour contribuer à la modernisation de la division grâce aux subventions et aux contributions de GéoConnexions. L’initiative GéoIA, qui automatise l’extraction de caractéristiques à partir d’images à haute résolution, soutient les objectifs d’innovation de la VS5 en améliorant les capacités en matière de cartographie. Les innovations de GéoBase, du CCT et de GéoDécouverte en matière de cartographie des interventions d’urgence s’alignent sur les objectifs de la VS5 en fournissant des solutions de données essentielles pour une intervention rapide en cas de crise. </w:t>
      </w:r>
    </w:p>
    <w:p w14:paraId="4810ABC8" w14:textId="59F76E16" w:rsidR="009216E5" w:rsidRPr="0024492B" w:rsidRDefault="00C71DA7" w:rsidP="005A4CA2">
      <w:pPr>
        <w:pStyle w:val="Heading2"/>
        <w:jc w:val="both"/>
        <w:rPr>
          <w:rFonts w:cstheme="majorHAnsi"/>
          <w:lang w:val="fr-CA"/>
        </w:rPr>
      </w:pPr>
      <w:r w:rsidRPr="0024492B">
        <w:rPr>
          <w:rFonts w:cstheme="majorHAnsi"/>
          <w:lang w:val="fr-CA"/>
        </w:rPr>
        <w:t>Alberta</w:t>
      </w:r>
    </w:p>
    <w:p w14:paraId="429AEECC"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L’adoption d’une technologie avancée de cartographie des feux de forêt par l’Alberta s’inscrit dans les objectifs d’innovation de la VS5 en soutenant des données réactives et précises pour la gestion des urgences. Son cadre structuré de gouvernance géospatiale permet également une utilisation novatrice des données, ce qui correspond aux objectifs de la VS5.</w:t>
      </w:r>
    </w:p>
    <w:p w14:paraId="4CC7EB77" w14:textId="77777777" w:rsidR="009216E5" w:rsidRPr="0024492B" w:rsidRDefault="00C71DA7" w:rsidP="002F5A93">
      <w:pPr>
        <w:pStyle w:val="Heading2"/>
        <w:jc w:val="both"/>
        <w:rPr>
          <w:rFonts w:cstheme="majorHAnsi"/>
          <w:lang w:val="fr-CA"/>
        </w:rPr>
      </w:pPr>
      <w:r w:rsidRPr="0024492B">
        <w:rPr>
          <w:rFonts w:cstheme="majorHAnsi"/>
          <w:lang w:val="fr-CA"/>
        </w:rPr>
        <w:t>Colombie-Britannique</w:t>
      </w:r>
    </w:p>
    <w:p w14:paraId="2CA10887" w14:textId="397FF7CA"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Colombie-Britannique se concentre actuellement sur les biens géospatiaux (outils et technologies) qui favorisent l’innovation dans l’élaboration des politiques, la prise de décision et le partage de l’information. Leur programme de collecte LiDAR et l’utilisation accrue de drones pour les évaluations environnementales soutiennent la VS5 en fournissant des données géospatiales novatrices et de haute qualité. La stratégie géospatiale du secteur des ressources naturelles encourage les innovations en matière de données pour la résilience climatique, conformément aux objectifs de la VS5.</w:t>
      </w:r>
    </w:p>
    <w:p w14:paraId="6EF5E692" w14:textId="77777777" w:rsidR="009216E5" w:rsidRPr="0024492B" w:rsidRDefault="00C71DA7" w:rsidP="002F5A93">
      <w:pPr>
        <w:pStyle w:val="Heading2"/>
        <w:jc w:val="both"/>
        <w:rPr>
          <w:rFonts w:cstheme="majorHAnsi"/>
          <w:lang w:val="fr-CA"/>
        </w:rPr>
      </w:pPr>
      <w:r w:rsidRPr="0024492B">
        <w:rPr>
          <w:rFonts w:cstheme="majorHAnsi"/>
          <w:lang w:val="fr-CA"/>
        </w:rPr>
        <w:t>Manitoba</w:t>
      </w:r>
    </w:p>
    <w:p w14:paraId="6A9B60DA"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transition du Manitoba vers ArcGIS Online et son adoption de systèmes avancés de gestion des données s’alignent sur les objectifs d’innovation de la VS5. Ce changement soutient les cadres novateurs de partage de données dans la province, et permet des applications de données géospatiales en temps réel, ce qui est conforme à l’accent mis par la VS5 sur une infrastructure de données moderne et adaptable.</w:t>
      </w:r>
    </w:p>
    <w:p w14:paraId="490622BC" w14:textId="77777777" w:rsidR="009216E5" w:rsidRPr="0024492B" w:rsidRDefault="00C71DA7" w:rsidP="002F5A93">
      <w:pPr>
        <w:pStyle w:val="Heading2"/>
        <w:jc w:val="both"/>
        <w:rPr>
          <w:rFonts w:cstheme="majorHAnsi"/>
          <w:lang w:val="fr-CA"/>
        </w:rPr>
      </w:pPr>
      <w:r w:rsidRPr="0024492B">
        <w:rPr>
          <w:rFonts w:cstheme="majorHAnsi"/>
          <w:lang w:val="fr-CA"/>
        </w:rPr>
        <w:t>Terre-Neuve-et-Labrador</w:t>
      </w:r>
    </w:p>
    <w:p w14:paraId="0B6F6A8E"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plateforme géospatiale du gouvernement de Terre-Neuve-et-Labrador et les initiatives de données ouvertes de la province soutiennent les objectifs d’innovation de la VS5 en fournissant un accès aux données géospatiales au public et en encourageant les utilisations novatrices dans tous les secteurs. L’intégration de la technologie du tableau de bord des feux de forêt pour la surveillance en temps réel est une solution innovante qui s’aligne sur les objectifs de la VS5.</w:t>
      </w:r>
    </w:p>
    <w:p w14:paraId="4C577E69" w14:textId="77777777" w:rsidR="009216E5" w:rsidRPr="0024492B" w:rsidRDefault="00C71DA7" w:rsidP="002F5A93">
      <w:pPr>
        <w:pStyle w:val="Heading2"/>
        <w:jc w:val="both"/>
        <w:rPr>
          <w:rFonts w:cstheme="majorHAnsi"/>
          <w:lang w:val="fr-CA"/>
        </w:rPr>
      </w:pPr>
      <w:r w:rsidRPr="0024492B">
        <w:rPr>
          <w:rFonts w:cstheme="majorHAnsi"/>
          <w:lang w:val="fr-CA"/>
        </w:rPr>
        <w:t>Territoires du Nord-Ouest</w:t>
      </w:r>
    </w:p>
    <w:p w14:paraId="53995E28"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Les Territoires du Nord-Ouest soutiennent les objectifs d’innovation de la VS5 grâce à des outils cartographiques en libre-service et à des solutions de stockage de données basées sur l’infonuagique. Ces avancées permettent un accès adaptable aux données, conformément aux objectifs de la VS5 en matière de technologies géospatiales modernes et accessibles.</w:t>
      </w:r>
    </w:p>
    <w:p w14:paraId="3DBE0078" w14:textId="77777777" w:rsidR="009216E5" w:rsidRPr="0024492B" w:rsidRDefault="00C71DA7" w:rsidP="002F5A93">
      <w:pPr>
        <w:pStyle w:val="Heading2"/>
        <w:jc w:val="both"/>
        <w:rPr>
          <w:rFonts w:cstheme="majorHAnsi"/>
          <w:lang w:val="fr-CA"/>
        </w:rPr>
      </w:pPr>
      <w:r w:rsidRPr="0024492B">
        <w:rPr>
          <w:rFonts w:cstheme="majorHAnsi"/>
          <w:lang w:val="fr-CA"/>
        </w:rPr>
        <w:t>Nouvelle-Écosse</w:t>
      </w:r>
    </w:p>
    <w:p w14:paraId="7F490A01" w14:textId="77777777" w:rsidR="00BB7C8D" w:rsidRPr="00BB7C8D" w:rsidRDefault="00BB7C8D" w:rsidP="00BB7C8D">
      <w:pPr>
        <w:jc w:val="both"/>
        <w:rPr>
          <w:rFonts w:asciiTheme="majorHAnsi" w:hAnsiTheme="majorHAnsi" w:cstheme="majorHAnsi"/>
          <w:lang w:val="fr-CA"/>
        </w:rPr>
      </w:pPr>
      <w:r w:rsidRPr="00BB7C8D">
        <w:rPr>
          <w:rFonts w:asciiTheme="majorHAnsi" w:hAnsiTheme="majorHAnsi" w:cstheme="majorHAnsi"/>
          <w:lang w:val="fr-CA"/>
        </w:rPr>
        <w:t>Les innovations récentes du tableau de bord ArcGIS de la Nouvelle-Écosse s’alignent sur les objectifs de la VS5 en matière d’infrastructures de données adaptables. Par exemple, un nouveau tableau de bord démographique fournira des renseignements sur la population de la province, ce qui illustre l’accent mis par la VS5 sur les applications de données innovantes et interactives.</w:t>
      </w:r>
    </w:p>
    <w:p w14:paraId="4861FD67" w14:textId="77777777" w:rsidR="009216E5" w:rsidRPr="0024492B" w:rsidRDefault="00C71DA7" w:rsidP="002F5A93">
      <w:pPr>
        <w:pStyle w:val="Heading2"/>
        <w:jc w:val="both"/>
        <w:rPr>
          <w:rFonts w:cstheme="majorHAnsi"/>
          <w:lang w:val="fr-CA"/>
        </w:rPr>
      </w:pPr>
      <w:r w:rsidRPr="0024492B">
        <w:rPr>
          <w:rFonts w:cstheme="majorHAnsi"/>
          <w:lang w:val="fr-CA"/>
        </w:rPr>
        <w:t>Nunavut</w:t>
      </w:r>
    </w:p>
    <w:p w14:paraId="16C0C197" w14:textId="3308BA91"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plateforme de données ouvertes du Nunavut et sa plateforme géospatiale à venir reflètent les objectifs d’innovation de la VS5 en intégrant l’IA pour l’automatisation des données et la cartographie mobile et en soutenant la conception de nouvelles plateformes. Son approche novatrice en matière d’accessibilité et de transparence des données s’aligne sur l’accent mis par la VS5 sur les technologies géospatiales avancées.</w:t>
      </w:r>
    </w:p>
    <w:p w14:paraId="7BCF8868" w14:textId="32B6EEE4" w:rsidR="009216E5" w:rsidRPr="0024492B" w:rsidRDefault="00C71DA7" w:rsidP="5502CF07">
      <w:pPr>
        <w:pStyle w:val="Heading2"/>
        <w:jc w:val="both"/>
        <w:rPr>
          <w:lang w:val="fr-CA"/>
        </w:rPr>
      </w:pPr>
      <w:r w:rsidRPr="0024492B">
        <w:rPr>
          <w:lang w:val="fr-CA"/>
        </w:rPr>
        <w:t>Québec</w:t>
      </w:r>
    </w:p>
    <w:p w14:paraId="673DBDD0" w14:textId="1ACC10DE" w:rsidR="16E0E482" w:rsidRPr="0024492B" w:rsidRDefault="00C71DA7" w:rsidP="5502CF07">
      <w:pPr>
        <w:jc w:val="both"/>
        <w:rPr>
          <w:rFonts w:asciiTheme="majorHAnsi" w:hAnsiTheme="majorHAnsi" w:cstheme="majorBidi"/>
          <w:lang w:val="fr-CA"/>
        </w:rPr>
      </w:pPr>
      <w:r w:rsidRPr="0024492B">
        <w:rPr>
          <w:rFonts w:asciiTheme="majorHAnsi" w:hAnsiTheme="majorHAnsi" w:cstheme="majorBidi"/>
          <w:lang w:val="fr-CA"/>
        </w:rPr>
        <w:t>L’utilisation par le Québec de l’imagerie satellitaire pour la surveillance des incendies de forêt et l’acquisition rapide de données illustre le thème d’innovation de la VS5. Le développement d’outils comme la Géobase du réseau hydrographique du Québec (GRHQ) s’aligne sur la VS5 en favorisant de nouvelles approches de gestion des données environnementales.</w:t>
      </w:r>
    </w:p>
    <w:p w14:paraId="1682B017" w14:textId="77777777" w:rsidR="009216E5" w:rsidRPr="0024492B" w:rsidRDefault="00C71DA7" w:rsidP="002F5A93">
      <w:pPr>
        <w:pStyle w:val="Heading2"/>
        <w:jc w:val="both"/>
        <w:rPr>
          <w:rFonts w:cstheme="majorHAnsi"/>
          <w:lang w:val="fr-CA"/>
        </w:rPr>
      </w:pPr>
      <w:r w:rsidRPr="0024492B">
        <w:rPr>
          <w:rFonts w:cstheme="majorHAnsi"/>
          <w:lang w:val="fr-CA"/>
        </w:rPr>
        <w:t>Yukon</w:t>
      </w:r>
    </w:p>
    <w:p w14:paraId="2EAA1875"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Les mises à jour d’ESRI Enterprise et les innovations d’ArcGIS au Yukon s’alignent sur les objectifs d’innovation de la VS5 en garantissant l’accès à des outils de données avancés. L’accent mis sur la création d’un dépôt d’imagerie et sur l’adressage municipal soutient les objectifs de la VS5 en matière d’infrastructure de données moderne et adaptable.</w:t>
      </w:r>
    </w:p>
    <w:p w14:paraId="232B9870" w14:textId="2C901312" w:rsidR="00A65946" w:rsidRPr="0024492B" w:rsidRDefault="00C71DA7" w:rsidP="002F5A93">
      <w:pPr>
        <w:pStyle w:val="Heading1"/>
        <w:jc w:val="both"/>
        <w:rPr>
          <w:rFonts w:cstheme="majorHAnsi"/>
          <w:lang w:val="fr-CA"/>
        </w:rPr>
      </w:pPr>
      <w:r w:rsidRPr="0024492B">
        <w:rPr>
          <w:rFonts w:cstheme="majorHAnsi"/>
          <w:lang w:val="fr-CA"/>
        </w:rPr>
        <w:t>VS6 : Normes</w:t>
      </w:r>
    </w:p>
    <w:p w14:paraId="407F491F" w14:textId="77777777" w:rsidR="009216E5" w:rsidRPr="0024492B" w:rsidRDefault="00C71DA7" w:rsidP="002F5A93">
      <w:pPr>
        <w:pStyle w:val="Heading2"/>
        <w:jc w:val="both"/>
        <w:rPr>
          <w:rFonts w:cstheme="majorHAnsi"/>
          <w:lang w:val="fr-CA"/>
        </w:rPr>
      </w:pPr>
      <w:r w:rsidRPr="0024492B">
        <w:rPr>
          <w:rFonts w:cstheme="majorHAnsi"/>
          <w:lang w:val="fr-CA"/>
        </w:rPr>
        <w:t>Agriculture et Agroalimentaire Canada (AAC)</w:t>
      </w:r>
    </w:p>
    <w:p w14:paraId="6E250EBD" w14:textId="46C1F07F"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L’engagement d’AAC en faveur des normes FAIR en matière de données s’aligne sur les objectifs de la VS6 en s’assurant que les données agricoles sont structurées et accessibles conformément à des normes rigoureuses. De plus, AAC a procédé à une mise à jour importante de la capacité à produire rapidement des applications ou des cartes intégrées au site Web du Ministère qui sont conformes aux Règles pour l’accessibilité des contenus Web 2</w:t>
      </w:r>
      <w:r w:rsidR="000D47A0" w:rsidRPr="0024492B">
        <w:rPr>
          <w:rFonts w:asciiTheme="majorHAnsi" w:hAnsiTheme="majorHAnsi" w:cstheme="majorHAnsi"/>
          <w:lang w:val="fr-CA"/>
        </w:rPr>
        <w:t>.</w:t>
      </w:r>
      <w:r w:rsidRPr="0024492B">
        <w:rPr>
          <w:rFonts w:asciiTheme="majorHAnsi" w:hAnsiTheme="majorHAnsi" w:cstheme="majorHAnsi"/>
          <w:lang w:val="fr-CA"/>
        </w:rPr>
        <w:t>0 et à la Boîte à outils de l’expérience Web (BOEW) du Canada. Cette orientation soutient les objectifs de la VS6 concernant des pratiques fiables et conformes aux normes en matière de données.</w:t>
      </w:r>
    </w:p>
    <w:p w14:paraId="4702A308" w14:textId="77777777" w:rsidR="00C80E8E" w:rsidRPr="0024492B" w:rsidRDefault="00C71DA7" w:rsidP="00C80E8E">
      <w:pPr>
        <w:pStyle w:val="Heading2"/>
        <w:jc w:val="both"/>
        <w:rPr>
          <w:rFonts w:cstheme="majorHAnsi"/>
          <w:lang w:val="fr-CA"/>
        </w:rPr>
      </w:pPr>
      <w:r w:rsidRPr="0024492B">
        <w:rPr>
          <w:rFonts w:cstheme="majorHAnsi"/>
          <w:lang w:val="fr-CA"/>
        </w:rPr>
        <w:t>Ministère des Pêches et des Océans (MPO)</w:t>
      </w:r>
    </w:p>
    <w:p w14:paraId="4B3551E8" w14:textId="77777777" w:rsidR="00C80E8E" w:rsidRPr="0024492B" w:rsidRDefault="00C71DA7" w:rsidP="00C80E8E">
      <w:pPr>
        <w:jc w:val="both"/>
        <w:rPr>
          <w:rFonts w:asciiTheme="majorHAnsi" w:hAnsiTheme="majorHAnsi" w:cstheme="majorHAnsi"/>
          <w:lang w:val="fr-CA"/>
        </w:rPr>
      </w:pPr>
      <w:r w:rsidRPr="0024492B">
        <w:rPr>
          <w:rFonts w:asciiTheme="majorHAnsi" w:hAnsiTheme="majorHAnsi" w:cstheme="majorHAnsi"/>
          <w:lang w:val="fr-CA"/>
        </w:rPr>
        <w:t>Le MPO contribue aux objectifs en matière de normes de la VS6 en mettant en œuvre les normes internationales de navigation électronique dans ses données marines. Cet alignement sur les normes mondiales garantit que les données géospatiales marines du Canada répondent aux normes les plus élevées en matière d’exactitude et d’interopérabilité, ce qui va dans le sens de l’accent mis par la VS6 sur des pratiques normalisées en matière de données.</w:t>
      </w:r>
    </w:p>
    <w:p w14:paraId="1A64CF09" w14:textId="77777777" w:rsidR="00C80E8E" w:rsidRPr="0024492B" w:rsidRDefault="00C71DA7" w:rsidP="00C80E8E">
      <w:pPr>
        <w:pStyle w:val="Heading2"/>
        <w:jc w:val="both"/>
        <w:rPr>
          <w:rFonts w:cstheme="majorHAnsi"/>
          <w:lang w:val="fr-CA"/>
        </w:rPr>
      </w:pPr>
      <w:r w:rsidRPr="0024492B">
        <w:rPr>
          <w:rFonts w:cstheme="majorHAnsi"/>
          <w:lang w:val="fr-CA"/>
        </w:rPr>
        <w:t>Ressources naturelles Canada – Centre canadien de cartographie et d’observation de la Terre (RNCan-CCCOT)</w:t>
      </w:r>
    </w:p>
    <w:p w14:paraId="28674D9C" w14:textId="2FE83B2E" w:rsidR="00C80E8E" w:rsidRPr="0024492B" w:rsidRDefault="00C71DA7" w:rsidP="1D7C572A">
      <w:pPr>
        <w:jc w:val="both"/>
        <w:rPr>
          <w:rFonts w:asciiTheme="majorHAnsi" w:hAnsiTheme="majorHAnsi" w:cstheme="majorBidi"/>
          <w:lang w:val="fr-CA"/>
        </w:rPr>
      </w:pPr>
      <w:r w:rsidRPr="0024492B">
        <w:rPr>
          <w:rFonts w:asciiTheme="majorHAnsi" w:hAnsiTheme="majorHAnsi" w:cstheme="majorBidi"/>
          <w:lang w:val="fr-CA"/>
        </w:rPr>
        <w:t xml:space="preserve">RNCan-CCCOT fait progresser la VS6 en établissant et en mettant en œuvre des normes nationales pour la qualité et l’interopérabilité des données par l’intermédiaire de sa gamme de programmes et d’activités, y compris : GéoBase et GéoIA, le développement de renseignements de référence, tels que l’Atlas du Canada, les produits d’intervention d’urgence et de cartes personnalisées, et le lancement de la nouvelle carte de base numérique du Canada. GéoConnexions joue un rôle de premier plan dans la conception et la mise à l’essai de technologies normalisées. L’engagement du CCCOT en faveur de pratiques uniformes en matière de données soutient les objectifs de la VS6, à savoir une infrastructure géospatiale fondée sur des normes, garantissant un accès fiable aux données dans l’ensemble du Canada. </w:t>
      </w:r>
    </w:p>
    <w:p w14:paraId="1EB358C1" w14:textId="77777777" w:rsidR="009216E5" w:rsidRPr="0024492B" w:rsidRDefault="00C71DA7" w:rsidP="002F5A93">
      <w:pPr>
        <w:pStyle w:val="Heading2"/>
        <w:jc w:val="both"/>
        <w:rPr>
          <w:rFonts w:cstheme="majorHAnsi"/>
          <w:lang w:val="fr-CA"/>
        </w:rPr>
      </w:pPr>
      <w:r w:rsidRPr="0024492B">
        <w:rPr>
          <w:rFonts w:cstheme="majorHAnsi"/>
          <w:lang w:val="fr-CA"/>
        </w:rPr>
        <w:t>Alberta</w:t>
      </w:r>
    </w:p>
    <w:p w14:paraId="6160B3C3"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Les pratiques structurées de l’Alberta en matière d’acquisition et de gestion de données soutiennent la VS6 en respectant les normes relatives aux données fondamentales, en particulier pour la gestion des urgences. Son adhésion à des protocoles de données uniformes répond aux objectifs de la VS6 en matière de normalisation des applications de données géospatiales.</w:t>
      </w:r>
    </w:p>
    <w:p w14:paraId="55DD1CE6" w14:textId="77777777" w:rsidR="009216E5" w:rsidRPr="0024492B" w:rsidRDefault="00C71DA7" w:rsidP="002F5A93">
      <w:pPr>
        <w:pStyle w:val="Heading2"/>
        <w:jc w:val="both"/>
        <w:rPr>
          <w:rFonts w:cstheme="majorHAnsi"/>
          <w:lang w:val="fr-CA"/>
        </w:rPr>
      </w:pPr>
      <w:r w:rsidRPr="0024492B">
        <w:rPr>
          <w:rFonts w:cstheme="majorHAnsi"/>
          <w:lang w:val="fr-CA"/>
        </w:rPr>
        <w:t>Colombie-Britannique</w:t>
      </w:r>
    </w:p>
    <w:p w14:paraId="1EAA9453" w14:textId="61606CA0"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stratégie géospatiale du secteur des ressources naturelles de la Colombie-Britannique s’aligne sur la VS6 en établissant des normes en matière de données qui améliorent l’interopérabilité entre les ministères. Son programme de collecte LiDAR est conforme aux normes nationales, ce qui soutient l’accent mis par la VS6 sur le maintien de pratiques fiables et de haute qualité en matière de données.</w:t>
      </w:r>
    </w:p>
    <w:p w14:paraId="5F2A30E1" w14:textId="77777777" w:rsidR="009216E5" w:rsidRPr="0024492B" w:rsidRDefault="00C71DA7" w:rsidP="002F5A93">
      <w:pPr>
        <w:pStyle w:val="Heading2"/>
        <w:jc w:val="both"/>
        <w:rPr>
          <w:rFonts w:cstheme="majorHAnsi"/>
          <w:lang w:val="fr-CA"/>
        </w:rPr>
      </w:pPr>
      <w:r w:rsidRPr="0024492B">
        <w:rPr>
          <w:rFonts w:cstheme="majorHAnsi"/>
          <w:lang w:val="fr-CA"/>
        </w:rPr>
        <w:t>Manitoba</w:t>
      </w:r>
    </w:p>
    <w:p w14:paraId="70A2065F"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transition du Manitoba vers ArcGIS Online s’aligne sur les objectifs de normalisation de la VS6 en renforçant l’uniformité et l’accessibilité des données. Cette migration vers une plateforme normalisée améliore l’interopérabilité au sein de la province, répondant ainsi aux objectifs de la VS6 en matière d’uniformisation des pratiques géospatiales.</w:t>
      </w:r>
    </w:p>
    <w:p w14:paraId="63418C70" w14:textId="77777777" w:rsidR="009216E5" w:rsidRPr="0024492B" w:rsidRDefault="00C71DA7" w:rsidP="002F5A93">
      <w:pPr>
        <w:pStyle w:val="Heading2"/>
        <w:jc w:val="both"/>
        <w:rPr>
          <w:rFonts w:cstheme="majorHAnsi"/>
          <w:lang w:val="fr-CA"/>
        </w:rPr>
      </w:pPr>
      <w:r w:rsidRPr="0024492B">
        <w:rPr>
          <w:rFonts w:cstheme="majorHAnsi"/>
          <w:lang w:val="fr-CA"/>
        </w:rPr>
        <w:t>Terre-Neuve-et-Labrador</w:t>
      </w:r>
    </w:p>
    <w:p w14:paraId="64B5A09E"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plateforme géospatiale du gouvernement de Terre-Neuve-et-Labrador et les initiatives en matière de données ouvertes de la province soutiennent les objectifs liés aux normes de la VS6 en établissant des pratiques de partage de données qui s’alignent sur les normes de données publiques. Le tableau de bord des feux de forêt et les systèmes de données d’urgence de la province répondent aux objectifs de la VS6 en ce qui concerne le maintien d’une infrastructure de données uniforme et normalisée.</w:t>
      </w:r>
    </w:p>
    <w:p w14:paraId="1279B880" w14:textId="77777777" w:rsidR="009216E5" w:rsidRPr="0024492B" w:rsidRDefault="00C71DA7" w:rsidP="002F5A93">
      <w:pPr>
        <w:pStyle w:val="Heading2"/>
        <w:jc w:val="both"/>
        <w:rPr>
          <w:rFonts w:cstheme="majorHAnsi"/>
          <w:lang w:val="fr-CA"/>
        </w:rPr>
      </w:pPr>
      <w:r w:rsidRPr="0024492B">
        <w:rPr>
          <w:rFonts w:cstheme="majorHAnsi"/>
          <w:lang w:val="fr-CA"/>
        </w:rPr>
        <w:t>Nouvelle-Écosse</w:t>
      </w:r>
    </w:p>
    <w:p w14:paraId="7FE636C0" w14:textId="77777777" w:rsidR="00BB7C8D" w:rsidRPr="00BB7C8D" w:rsidRDefault="00BB7C8D" w:rsidP="00BB7C8D">
      <w:pPr>
        <w:jc w:val="both"/>
        <w:rPr>
          <w:rFonts w:asciiTheme="majorHAnsi" w:hAnsiTheme="majorHAnsi" w:cstheme="majorHAnsi"/>
          <w:lang w:val="fr-CA"/>
        </w:rPr>
      </w:pPr>
      <w:r w:rsidRPr="00BB7C8D">
        <w:rPr>
          <w:rFonts w:asciiTheme="majorHAnsi" w:hAnsiTheme="majorHAnsi" w:cstheme="majorHAnsi"/>
          <w:lang w:val="fr-CA"/>
        </w:rPr>
        <w:t>L’initiative de la Nouvelle-Écosse visant à centraliser les métadonnées et les processus actuels de l’infrastructure de données spatiales s’alignent sur la VS6 en garantissant la cohérence et la fiabilité des données. Ses pratiques en matière de données ouvertes soutiennent les objectifs de la VS6 qui visent à maintenir des normes élevées en matière d’accessibilité et de facilité d’utilisation des données.</w:t>
      </w:r>
    </w:p>
    <w:p w14:paraId="109D84B6" w14:textId="0AF9959D" w:rsidR="009216E5" w:rsidRPr="0024492B" w:rsidRDefault="00C71DA7" w:rsidP="5502CF07">
      <w:pPr>
        <w:pStyle w:val="Heading2"/>
        <w:jc w:val="both"/>
        <w:rPr>
          <w:lang w:val="fr-CA"/>
        </w:rPr>
      </w:pPr>
      <w:r w:rsidRPr="0024492B">
        <w:rPr>
          <w:lang w:val="fr-CA"/>
        </w:rPr>
        <w:t>Québec</w:t>
      </w:r>
    </w:p>
    <w:p w14:paraId="2B888088" w14:textId="71CEF9C6" w:rsidR="28D736A7" w:rsidRPr="0024492B" w:rsidRDefault="00C71DA7" w:rsidP="5502CF07">
      <w:pPr>
        <w:jc w:val="both"/>
        <w:rPr>
          <w:rFonts w:asciiTheme="majorHAnsi" w:hAnsiTheme="majorHAnsi" w:cstheme="majorBidi"/>
          <w:lang w:val="fr-CA"/>
        </w:rPr>
      </w:pPr>
      <w:r w:rsidRPr="0024492B">
        <w:rPr>
          <w:rFonts w:asciiTheme="majorHAnsi" w:hAnsiTheme="majorHAnsi" w:cstheme="majorBidi"/>
          <w:lang w:val="fr-CA"/>
        </w:rPr>
        <w:t>Les initiatives géospatiales du Québec, y compris la maintenance de la Géobase du réseau hydrographique du Québec, soutiennent la VS6 en établissant des normes provinciales en matière de qualité et d’exactitude des données. Leur approche structurée de l’acquisition et de la gestion des données s’aligne sur les objectifs de la VS6 en matière de pratiques géospatiales cohérentes.</w:t>
      </w:r>
    </w:p>
    <w:p w14:paraId="3AB12707" w14:textId="77777777" w:rsidR="009216E5" w:rsidRPr="0024492B" w:rsidRDefault="00C71DA7" w:rsidP="002F5A93">
      <w:pPr>
        <w:pStyle w:val="Heading2"/>
        <w:jc w:val="both"/>
        <w:rPr>
          <w:rFonts w:cstheme="majorHAnsi"/>
          <w:lang w:val="fr-CA"/>
        </w:rPr>
      </w:pPr>
      <w:r w:rsidRPr="0024492B">
        <w:rPr>
          <w:rFonts w:cstheme="majorHAnsi"/>
          <w:lang w:val="fr-CA"/>
        </w:rPr>
        <w:t>Yukon</w:t>
      </w:r>
    </w:p>
    <w:p w14:paraId="39331009"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L’intégration par le Yukon des licences d’ESRI Enterprise et son engagement à respecter les normes ArcGIS s’alignent sur les objectifs de la VS6 en matière d’uniformité des données. En normalisant les pratiques en matière de données, le Yukon garantit une gestion et une interopérabilité fiables des données, ce qui soutient les objectifs de la VS6 concernant des normes robustes sur les données.</w:t>
      </w:r>
    </w:p>
    <w:p w14:paraId="6CC8D52F" w14:textId="4342695B" w:rsidR="00A65946" w:rsidRPr="0024492B" w:rsidRDefault="00C71DA7" w:rsidP="002F5A93">
      <w:pPr>
        <w:pStyle w:val="Heading1"/>
        <w:jc w:val="both"/>
        <w:rPr>
          <w:rFonts w:cstheme="majorHAnsi"/>
          <w:lang w:val="fr-CA"/>
        </w:rPr>
      </w:pPr>
      <w:r w:rsidRPr="0024492B">
        <w:rPr>
          <w:rFonts w:cstheme="majorHAnsi"/>
          <w:lang w:val="fr-CA"/>
        </w:rPr>
        <w:t>VS7 : Partenariats</w:t>
      </w:r>
    </w:p>
    <w:p w14:paraId="5DDA0CEA" w14:textId="77777777" w:rsidR="009216E5" w:rsidRPr="0024492B" w:rsidRDefault="00C71DA7" w:rsidP="002F5A93">
      <w:pPr>
        <w:pStyle w:val="Heading2"/>
        <w:jc w:val="both"/>
        <w:rPr>
          <w:rFonts w:cstheme="majorHAnsi"/>
          <w:lang w:val="fr-CA"/>
        </w:rPr>
      </w:pPr>
      <w:r w:rsidRPr="0024492B">
        <w:rPr>
          <w:rFonts w:cstheme="majorHAnsi"/>
          <w:lang w:val="fr-CA"/>
        </w:rPr>
        <w:t>Agriculture et Agroalimentaire Canada (AAC)</w:t>
      </w:r>
    </w:p>
    <w:p w14:paraId="112E60C6" w14:textId="5804DBEA"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L’initiative d’AAC en matière de données FAIR et la collaboration entre ses directions générales sur les données relatives au climat et à l’agriculture soutiennent les objectifs de la VS7 en matière de partenariats. AAC prévoit d’inspirer et de guider les modèles de gestion des données pour l’ensemble des communautés de données au sein du Ministère. En permettant le partage des données et la collaboration avec des intervenants externes, AAC s’aligne sur les objectifs de la VS7 en matière de partenariats efficaces et durables dans le domaine de la gestion des données.</w:t>
      </w:r>
    </w:p>
    <w:p w14:paraId="7D443B2A" w14:textId="77777777" w:rsidR="00C80E8E" w:rsidRPr="0024492B" w:rsidRDefault="00C71DA7" w:rsidP="00C80E8E">
      <w:pPr>
        <w:pStyle w:val="Heading2"/>
        <w:jc w:val="both"/>
        <w:rPr>
          <w:rFonts w:cstheme="majorHAnsi"/>
          <w:lang w:val="fr-CA"/>
        </w:rPr>
      </w:pPr>
      <w:r w:rsidRPr="0024492B">
        <w:rPr>
          <w:rFonts w:cstheme="majorHAnsi"/>
          <w:lang w:val="fr-CA"/>
        </w:rPr>
        <w:t>Ministère des Pêches et des Océans (MPO)</w:t>
      </w:r>
    </w:p>
    <w:p w14:paraId="3D9EB152" w14:textId="77777777" w:rsidR="00C80E8E" w:rsidRPr="0024492B" w:rsidRDefault="00C71DA7" w:rsidP="00C80E8E">
      <w:pPr>
        <w:jc w:val="both"/>
        <w:rPr>
          <w:rFonts w:asciiTheme="majorHAnsi" w:hAnsiTheme="majorHAnsi" w:cstheme="majorHAnsi"/>
          <w:lang w:val="fr-CA"/>
        </w:rPr>
      </w:pPr>
      <w:r w:rsidRPr="0024492B">
        <w:rPr>
          <w:rFonts w:asciiTheme="majorHAnsi" w:hAnsiTheme="majorHAnsi" w:cstheme="majorHAnsi"/>
          <w:lang w:val="fr-CA"/>
        </w:rPr>
        <w:t>Les partenariats du MPO avec des organismes maritimes internationaux pour la mise en œuvre des normes de navigation électronique illustrent l’accent mis par la VS7 sur la gouvernance collaborative. Ces partenariats permettent d’aligner les données géospatiales marines du Canada sur les normes mondiales, de renforcer la coopération internationale et d’atteindre les objectifs de la VS7 en matière de pratiques géospatiales collaboratives.</w:t>
      </w:r>
    </w:p>
    <w:p w14:paraId="545930B6" w14:textId="6CE264D9" w:rsidR="00C80E8E" w:rsidRPr="0024492B" w:rsidRDefault="00C71DA7" w:rsidP="00C80E8E">
      <w:pPr>
        <w:pStyle w:val="Heading2"/>
        <w:jc w:val="both"/>
        <w:rPr>
          <w:rFonts w:cstheme="majorHAnsi"/>
          <w:lang w:val="fr-CA"/>
        </w:rPr>
      </w:pPr>
      <w:r w:rsidRPr="0024492B">
        <w:rPr>
          <w:rFonts w:cstheme="majorHAnsi"/>
          <w:lang w:val="fr-CA"/>
        </w:rPr>
        <w:t>Logement, Infrastructures et Collectivités Canada (LICC)</w:t>
      </w:r>
    </w:p>
    <w:p w14:paraId="7CAEA30F" w14:textId="7785BBA2" w:rsidR="00C80E8E" w:rsidRPr="0024492B" w:rsidRDefault="00C71DA7" w:rsidP="00C80E8E">
      <w:pPr>
        <w:jc w:val="both"/>
        <w:rPr>
          <w:rFonts w:asciiTheme="majorHAnsi" w:hAnsiTheme="majorHAnsi" w:cstheme="majorHAnsi"/>
          <w:b/>
          <w:bCs/>
          <w:lang w:val="fr-CA"/>
        </w:rPr>
      </w:pPr>
      <w:r w:rsidRPr="0024492B">
        <w:rPr>
          <w:rFonts w:asciiTheme="majorHAnsi" w:hAnsiTheme="majorHAnsi" w:cstheme="majorHAnsi"/>
          <w:lang w:val="fr-CA"/>
        </w:rPr>
        <w:t xml:space="preserve">LICC favorise activement la collaboration en mobilisant de multiples intervenants, y compris des organismes communautaires, gouvernementaux et autres. Son objectif d’encourager le partage des connaissances s’aligne sur l’accent mis par la VS7 sur les partenariats, en soutenant les initiatives de collaboration dans le développement et l’application des données. </w:t>
      </w:r>
    </w:p>
    <w:p w14:paraId="44905B47" w14:textId="77777777" w:rsidR="00C80E8E" w:rsidRPr="0024492B" w:rsidRDefault="00C71DA7" w:rsidP="00C80E8E">
      <w:pPr>
        <w:pStyle w:val="Heading2"/>
        <w:jc w:val="both"/>
        <w:rPr>
          <w:rFonts w:cstheme="majorHAnsi"/>
          <w:lang w:val="fr-CA"/>
        </w:rPr>
      </w:pPr>
      <w:r w:rsidRPr="0024492B">
        <w:rPr>
          <w:rFonts w:cstheme="majorHAnsi"/>
          <w:lang w:val="fr-CA"/>
        </w:rPr>
        <w:t>Ressources naturelles Canada – Centre canadien de cartographie et d’observation de la Terre (RNCan-CCCOT)</w:t>
      </w:r>
    </w:p>
    <w:p w14:paraId="710A7F98" w14:textId="31AE5A3E" w:rsidR="00C80E8E" w:rsidRPr="0024492B" w:rsidRDefault="00C71DA7" w:rsidP="00C80E8E">
      <w:pPr>
        <w:jc w:val="both"/>
        <w:rPr>
          <w:rFonts w:asciiTheme="majorHAnsi" w:hAnsiTheme="majorHAnsi" w:cstheme="majorHAnsi"/>
          <w:lang w:val="fr-CA"/>
        </w:rPr>
      </w:pPr>
      <w:r w:rsidRPr="0024492B">
        <w:rPr>
          <w:rFonts w:asciiTheme="majorHAnsi" w:hAnsiTheme="majorHAnsi"/>
          <w:lang w:val="fr-CA"/>
        </w:rPr>
        <w:t>Les contributions de RNCan-CCCOT à l’initiative GéoBase, à GEO.ca et aux collaborations sur la cartographie des interventions d’urgence illustrent les objectifs de partenariat de la VS7. Le CCCOT gère également le programme d’accords de contribution (AC) GéoConnexions, dont les fonds sont mis à la disposition d’un éventail de partenaires et d’intervenants afin de tirer parti des innovations géospatiales pour répondre à des priorités comme la réconciliation avec les peuples autochtones, l’adaptation aux changements climatiques et leur atténuation, ainsi que la préparation aux situations d’urgence.</w:t>
      </w:r>
      <w:r w:rsidRPr="0024492B">
        <w:rPr>
          <w:lang w:val="fr-CA"/>
        </w:rPr>
        <w:t xml:space="preserve"> </w:t>
      </w:r>
      <w:r w:rsidRPr="0024492B">
        <w:rPr>
          <w:rFonts w:asciiTheme="majorHAnsi" w:hAnsiTheme="majorHAnsi"/>
          <w:lang w:val="fr-CA"/>
        </w:rPr>
        <w:t>De plus, l’ICDG dirige la participation du Canada aux forums géospatiaux internationaux. En travaillant avec des partenaires provinciaux et autochtones sur les normes de données, RNCan-CCCOT soutient les objectifs de la VS7 pour une gouvernance géospatiale inclusive et coordonnée.</w:t>
      </w:r>
    </w:p>
    <w:p w14:paraId="3B4357C2" w14:textId="77777777" w:rsidR="009216E5" w:rsidRPr="0024492B" w:rsidRDefault="00C71DA7" w:rsidP="002F5A93">
      <w:pPr>
        <w:pStyle w:val="Heading2"/>
        <w:jc w:val="both"/>
        <w:rPr>
          <w:rFonts w:cstheme="majorHAnsi"/>
          <w:lang w:val="fr-CA"/>
        </w:rPr>
      </w:pPr>
      <w:r w:rsidRPr="0024492B">
        <w:rPr>
          <w:rFonts w:cstheme="majorHAnsi"/>
          <w:lang w:val="fr-CA"/>
        </w:rPr>
        <w:t>Alberta</w:t>
      </w:r>
    </w:p>
    <w:p w14:paraId="218A806D" w14:textId="720C09AF" w:rsidR="009216E5" w:rsidRPr="0024492B" w:rsidRDefault="00C71DA7" w:rsidP="000E38B6">
      <w:pPr>
        <w:jc w:val="both"/>
        <w:rPr>
          <w:rFonts w:asciiTheme="majorHAnsi" w:hAnsiTheme="majorHAnsi" w:cstheme="majorHAnsi"/>
          <w:lang w:val="fr-CA"/>
        </w:rPr>
      </w:pPr>
      <w:r w:rsidRPr="0024492B">
        <w:rPr>
          <w:rFonts w:asciiTheme="majorHAnsi" w:hAnsiTheme="majorHAnsi" w:cstheme="majorHAnsi"/>
          <w:lang w:val="fr-CA"/>
        </w:rPr>
        <w:t>Le cadre structuré de gouvernance des données de l’Alberta soutient la VS7 en permettant des partenariats entre les ministères pour les données relatives aux interventions d’urgence. Elle travaille actuellement au renouvellement de l’entente sur les données cartographiques avec Alberta Data Partnerships. Son approche collaborative de la gouvernance géospatiale renforce les pratiques en matière de données fondées sur le partenariat, ce qui permet d’atteindre les objectifs de la VS7 en matière de coordination des réponses et de partage des ressources.</w:t>
      </w:r>
    </w:p>
    <w:p w14:paraId="596D8BFF" w14:textId="77777777" w:rsidR="009216E5" w:rsidRPr="0024492B" w:rsidRDefault="00C71DA7" w:rsidP="002F5A93">
      <w:pPr>
        <w:pStyle w:val="Heading2"/>
        <w:jc w:val="both"/>
        <w:rPr>
          <w:rFonts w:cstheme="majorHAnsi"/>
          <w:lang w:val="fr-CA"/>
        </w:rPr>
      </w:pPr>
      <w:r w:rsidRPr="0024492B">
        <w:rPr>
          <w:rFonts w:cstheme="majorHAnsi"/>
          <w:lang w:val="fr-CA"/>
        </w:rPr>
        <w:t>Colombie-Britannique</w:t>
      </w:r>
    </w:p>
    <w:p w14:paraId="5AA08A87" w14:textId="42C5236B"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stratégie géospatiale du secteur des ressources naturelles de la Colombie-Britannique et ses initiatives en matière de LiDAR soutiennent la VS7 en favorisant les partenariats pour la collecte et l’utilisation des données environnementales. Son modèle de gouvernance interministériel permet des partenariats efficaces en matière de données, répondant ainsi aux objectifs de la VS7 en matière de collaboration géospatiale.</w:t>
      </w:r>
    </w:p>
    <w:p w14:paraId="4258037E" w14:textId="77777777" w:rsidR="009216E5" w:rsidRPr="0024492B" w:rsidRDefault="00C71DA7" w:rsidP="002F5A93">
      <w:pPr>
        <w:pStyle w:val="Heading2"/>
        <w:jc w:val="both"/>
        <w:rPr>
          <w:rFonts w:cstheme="majorHAnsi"/>
          <w:lang w:val="fr-CA"/>
        </w:rPr>
      </w:pPr>
      <w:r w:rsidRPr="0024492B">
        <w:rPr>
          <w:rFonts w:cstheme="majorHAnsi"/>
          <w:lang w:val="fr-CA"/>
        </w:rPr>
        <w:t>Manitoba</w:t>
      </w:r>
    </w:p>
    <w:p w14:paraId="458AC87E"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Les efforts du Manitoba pour mettre en place une stratégie géospatiale à l’échelle de la province soutiennent les objectifs de partenariat de la VS7 en favorisant des cadres de collaboration entre les organismes provinciaux. Son approche des ressources de données partagées permet des partenariats qui améliorent l’accessibilité et la normalisation des données, répondant ainsi aux objectifs de la VS7.</w:t>
      </w:r>
    </w:p>
    <w:p w14:paraId="779F733A" w14:textId="77777777" w:rsidR="009216E5" w:rsidRPr="0024492B" w:rsidRDefault="00C71DA7" w:rsidP="002F5A93">
      <w:pPr>
        <w:pStyle w:val="Heading2"/>
        <w:jc w:val="both"/>
        <w:rPr>
          <w:rFonts w:cstheme="majorHAnsi"/>
          <w:lang w:val="fr-CA"/>
        </w:rPr>
      </w:pPr>
      <w:r w:rsidRPr="0024492B">
        <w:rPr>
          <w:rFonts w:cstheme="majorHAnsi"/>
          <w:lang w:val="fr-CA"/>
        </w:rPr>
        <w:t>Nouveau-Brunswick</w:t>
      </w:r>
    </w:p>
    <w:p w14:paraId="3B146D7C"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communauté de pratique sur les SIG du Nouveau-Brunswick encourage les partenariats en consolidant les groupes de SIG et en promouvant des normes communes entre les ministères. Ce modèle de collaboration s’aligne sur les objectifs de la VS7 en renforçant la coopération interministérielle en matière de gestion et de partage des données.</w:t>
      </w:r>
    </w:p>
    <w:p w14:paraId="19B8F9CD" w14:textId="77777777" w:rsidR="009216E5" w:rsidRPr="0024492B" w:rsidRDefault="00C71DA7" w:rsidP="002F5A93">
      <w:pPr>
        <w:pStyle w:val="Heading2"/>
        <w:jc w:val="both"/>
        <w:rPr>
          <w:rFonts w:cstheme="majorHAnsi"/>
          <w:lang w:val="fr-CA"/>
        </w:rPr>
      </w:pPr>
      <w:r w:rsidRPr="0024492B">
        <w:rPr>
          <w:rFonts w:cstheme="majorHAnsi"/>
          <w:lang w:val="fr-CA"/>
        </w:rPr>
        <w:t>Terre-Neuve-et-Labrador</w:t>
      </w:r>
    </w:p>
    <w:p w14:paraId="6853F973"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plateforme géospatiale du gouvernement de Terre-Neuve-et-Labrador favorise les partenariats en créant une plateforme de partage de données accessible aux collectivités locales et aux intervenants publics. Son intégration d’outils de données en temps réel comme le tableau de bord des feux de forêt encourage la collaboration intersectorielle, ce qui va dans le sens de l’accent mis par la VS7 sur les solutions de données basées sur les partenariats.</w:t>
      </w:r>
    </w:p>
    <w:p w14:paraId="789591A8" w14:textId="77777777" w:rsidR="009216E5" w:rsidRPr="0024492B" w:rsidRDefault="00C71DA7" w:rsidP="002F5A93">
      <w:pPr>
        <w:pStyle w:val="Heading2"/>
        <w:jc w:val="both"/>
        <w:rPr>
          <w:rFonts w:cstheme="majorHAnsi"/>
          <w:lang w:val="fr-CA"/>
        </w:rPr>
      </w:pPr>
      <w:r w:rsidRPr="0024492B">
        <w:rPr>
          <w:rFonts w:cstheme="majorHAnsi"/>
          <w:lang w:val="fr-CA"/>
        </w:rPr>
        <w:t>Territoires du Nord-Ouest</w:t>
      </w:r>
    </w:p>
    <w:p w14:paraId="1D01D4EB" w14:textId="144CF848"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Les efforts de gestion des urgences et de cartographie des risques des Territoires du Nord-Ouest favorisent les partenariats avec les communautés locales pour la validation des données grâce à des plans de mise à jour des cartes sur les risques d’inondation pour un plus grand nombre de communautés. Leur approche collaborative s’aligne sur la VS7 en garantissant que les initiatives en matière de données reflètent les besoins de la communauté, ce qui répond aux objectifs de la VS7 en matière de gouvernance des données fondée sur le partenariat.</w:t>
      </w:r>
    </w:p>
    <w:p w14:paraId="6A51EAA6" w14:textId="77777777" w:rsidR="009216E5" w:rsidRPr="0024492B" w:rsidRDefault="00C71DA7" w:rsidP="002F5A93">
      <w:pPr>
        <w:pStyle w:val="Heading2"/>
        <w:jc w:val="both"/>
        <w:rPr>
          <w:rFonts w:cstheme="majorHAnsi"/>
          <w:lang w:val="fr-CA"/>
        </w:rPr>
      </w:pPr>
      <w:r w:rsidRPr="0024492B">
        <w:rPr>
          <w:rFonts w:cstheme="majorHAnsi"/>
          <w:lang w:val="fr-CA"/>
        </w:rPr>
        <w:t>Nouvelle-Écosse</w:t>
      </w:r>
    </w:p>
    <w:p w14:paraId="098B64E0" w14:textId="77777777" w:rsidR="00BB7C8D" w:rsidRPr="00BB7C8D" w:rsidRDefault="00BB7C8D" w:rsidP="00BB7C8D">
      <w:pPr>
        <w:jc w:val="both"/>
        <w:rPr>
          <w:rFonts w:asciiTheme="majorHAnsi" w:hAnsiTheme="majorHAnsi" w:cstheme="majorHAnsi"/>
          <w:lang w:val="fr-CA"/>
        </w:rPr>
      </w:pPr>
      <w:r w:rsidRPr="00BB7C8D">
        <w:rPr>
          <w:rFonts w:asciiTheme="majorHAnsi" w:hAnsiTheme="majorHAnsi" w:cstheme="majorHAnsi"/>
          <w:lang w:val="fr-CA"/>
        </w:rPr>
        <w:t>La cartographie des inondations et les tableaux de bord démographiques sur la santé de la Nouvelle-Écosse favorisent les partenariats en recueillant des données et en donnant accès à des données qui favorisent la collaboration entre les ministères et avec le public. Ses initiatives en matière de distribution de données géographiques s’alignent sur les objectifs de la VS7 en promouvant des pratiques de partage de données fondées sur le partenariat.</w:t>
      </w:r>
    </w:p>
    <w:p w14:paraId="1EFF2061" w14:textId="77777777" w:rsidR="009216E5" w:rsidRPr="0024492B" w:rsidRDefault="00C71DA7" w:rsidP="002F5A93">
      <w:pPr>
        <w:pStyle w:val="Heading2"/>
        <w:jc w:val="both"/>
        <w:rPr>
          <w:rFonts w:cstheme="majorHAnsi"/>
          <w:lang w:val="fr-CA"/>
        </w:rPr>
      </w:pPr>
      <w:r w:rsidRPr="0024492B">
        <w:rPr>
          <w:rFonts w:cstheme="majorHAnsi"/>
          <w:lang w:val="fr-CA"/>
        </w:rPr>
        <w:t>Nunavut</w:t>
      </w:r>
    </w:p>
    <w:p w14:paraId="10C28033" w14:textId="53DB9076"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plateforme de données ouvertes du Nunavut favorise les partenariats en permettant le partage de données entre les intervenants gouvernementaux et externes. Son engagement en faveur de la transparence et de l’inclusivité soutient les objectifs de la VS7 en matière de pratiques de données géospatiales orientées vers le partenariat.</w:t>
      </w:r>
    </w:p>
    <w:p w14:paraId="10BCCD24" w14:textId="4BC480DF" w:rsidR="009216E5" w:rsidRPr="0024492B" w:rsidRDefault="00C71DA7" w:rsidP="5502CF07">
      <w:pPr>
        <w:pStyle w:val="Heading2"/>
        <w:jc w:val="both"/>
        <w:rPr>
          <w:lang w:val="fr-CA"/>
        </w:rPr>
      </w:pPr>
      <w:r w:rsidRPr="0024492B">
        <w:rPr>
          <w:lang w:val="fr-CA"/>
        </w:rPr>
        <w:t>Québec</w:t>
      </w:r>
    </w:p>
    <w:p w14:paraId="04ACB88F" w14:textId="6ED17628" w:rsidR="5984828E" w:rsidRPr="0024492B" w:rsidRDefault="00C71DA7" w:rsidP="5502CF07">
      <w:pPr>
        <w:jc w:val="both"/>
        <w:rPr>
          <w:rFonts w:asciiTheme="majorHAnsi" w:hAnsiTheme="majorHAnsi" w:cstheme="majorBidi"/>
          <w:lang w:val="fr-CA"/>
        </w:rPr>
      </w:pPr>
      <w:r w:rsidRPr="0024492B">
        <w:rPr>
          <w:rFonts w:asciiTheme="majorHAnsi" w:hAnsiTheme="majorHAnsi" w:cstheme="majorBidi"/>
          <w:lang w:val="fr-CA"/>
        </w:rPr>
        <w:t>Les collaborations du Québec en matière de protection contre les inondations, de données cadastrales et de réseaux hydrographiques soutiennent la VS7 en créant des partenariats entre les niveaux provincial et fédéral. L’accent mis sur les données ouvertes favorise également les partenariats publics et privés, conformément aux objectifs de la VS7 en matière de cadres de partage de données inclusifs.</w:t>
      </w:r>
    </w:p>
    <w:p w14:paraId="1D6FE884" w14:textId="77777777" w:rsidR="009216E5" w:rsidRPr="0024492B" w:rsidRDefault="00C71DA7" w:rsidP="002F5A93">
      <w:pPr>
        <w:pStyle w:val="Heading2"/>
        <w:jc w:val="both"/>
        <w:rPr>
          <w:rFonts w:cstheme="majorHAnsi"/>
          <w:lang w:val="fr-CA"/>
        </w:rPr>
      </w:pPr>
      <w:r w:rsidRPr="0024492B">
        <w:rPr>
          <w:rFonts w:cstheme="majorHAnsi"/>
          <w:lang w:val="fr-CA"/>
        </w:rPr>
        <w:t>Yukon</w:t>
      </w:r>
    </w:p>
    <w:p w14:paraId="6937CE37"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Les partenariats du Yukon en matière d’adressage municipal et de données sur les interventions d’urgence soutiennent la VS7 en permettant des collaborations sur le partage de données avec les gouvernements des Premières Nations et les municipalités locales. Son approche en matière de gouvernance géospatiale, axée sur le partenariat, s’aligne sur les objectifs de la VS7 concernant les pratiques collaboratives dans le domaine des données.</w:t>
      </w:r>
    </w:p>
    <w:p w14:paraId="3A6D94DB" w14:textId="0E72B6A7" w:rsidR="00BA3ABA" w:rsidRPr="0024492B" w:rsidRDefault="00C71DA7" w:rsidP="002F5A93">
      <w:pPr>
        <w:pStyle w:val="Heading1"/>
        <w:jc w:val="both"/>
        <w:rPr>
          <w:rFonts w:cstheme="majorHAnsi"/>
          <w:lang w:val="fr-CA"/>
        </w:rPr>
      </w:pPr>
      <w:r w:rsidRPr="0024492B">
        <w:rPr>
          <w:rFonts w:cstheme="majorHAnsi"/>
          <w:lang w:val="fr-CA"/>
        </w:rPr>
        <w:t>VS8 : Capacités et éducation</w:t>
      </w:r>
    </w:p>
    <w:p w14:paraId="31FC8073" w14:textId="77777777" w:rsidR="009216E5" w:rsidRPr="0024492B" w:rsidRDefault="00C71DA7" w:rsidP="002F5A93">
      <w:pPr>
        <w:pStyle w:val="Heading2"/>
        <w:jc w:val="both"/>
        <w:rPr>
          <w:rFonts w:cstheme="majorHAnsi"/>
          <w:lang w:val="fr-CA"/>
        </w:rPr>
      </w:pPr>
      <w:r w:rsidRPr="0024492B">
        <w:rPr>
          <w:rFonts w:cstheme="majorHAnsi"/>
          <w:lang w:val="fr-CA"/>
        </w:rPr>
        <w:t>Agriculture et Agroalimentaire Canada (AAC)</w:t>
      </w:r>
    </w:p>
    <w:p w14:paraId="3ED89C96"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L’accent mis par AAC sur les normes FAIR en matière de données soutient la VS8 en promouvant la littératie et l’accessibilité des données dans l’ensemble de ses services. L’accent mis sur la formation du personnel aux techniques de données avancées s’aligne sur les objectifs de la VS8 en matière de renforcement des capacités et de sensibilisation aux données géospatiales.</w:t>
      </w:r>
    </w:p>
    <w:p w14:paraId="332185DC" w14:textId="479E6A3D" w:rsidR="00C80E8E" w:rsidRPr="0024492B" w:rsidRDefault="00C71DA7" w:rsidP="00C80E8E">
      <w:pPr>
        <w:pStyle w:val="Heading2"/>
        <w:jc w:val="both"/>
        <w:rPr>
          <w:rFonts w:cstheme="majorHAnsi"/>
          <w:lang w:val="fr-CA"/>
        </w:rPr>
      </w:pPr>
      <w:r w:rsidRPr="0024492B">
        <w:rPr>
          <w:rFonts w:cstheme="majorHAnsi"/>
          <w:lang w:val="fr-CA"/>
        </w:rPr>
        <w:t>Logement, Infrastructures et Collectivités Canada (LICC)</w:t>
      </w:r>
    </w:p>
    <w:p w14:paraId="28191FFE" w14:textId="7C3EA7B6" w:rsidR="00C80E8E" w:rsidRPr="0024492B" w:rsidRDefault="00C71DA7" w:rsidP="00C80E8E">
      <w:pPr>
        <w:jc w:val="both"/>
        <w:rPr>
          <w:rFonts w:asciiTheme="majorHAnsi" w:hAnsiTheme="majorHAnsi" w:cstheme="majorHAnsi"/>
          <w:b/>
          <w:bCs/>
          <w:lang w:val="fr-CA"/>
        </w:rPr>
      </w:pPr>
      <w:r w:rsidRPr="0024492B">
        <w:rPr>
          <w:rFonts w:asciiTheme="majorHAnsi" w:hAnsiTheme="majorHAnsi" w:cstheme="majorHAnsi"/>
          <w:lang w:val="fr-CA"/>
        </w:rPr>
        <w:t xml:space="preserve">L’accent mis par LICC sur la création d’outils de données accessibles permet de renforcer les capacités en formant les intervenants aux données géospatiales liées aux infrastructures. Des outils tels que les Mesures spatiales de l’accès améliorent les connaissances géospatiales des utilisateurs, conformément aux objectifs de la VS8.​ </w:t>
      </w:r>
    </w:p>
    <w:p w14:paraId="4A412797" w14:textId="77777777" w:rsidR="00C80E8E" w:rsidRPr="0024492B" w:rsidRDefault="00C71DA7" w:rsidP="00C80E8E">
      <w:pPr>
        <w:pStyle w:val="Heading2"/>
        <w:jc w:val="both"/>
        <w:rPr>
          <w:rFonts w:cstheme="majorHAnsi"/>
          <w:lang w:val="fr-CA"/>
        </w:rPr>
      </w:pPr>
      <w:r w:rsidRPr="0024492B">
        <w:rPr>
          <w:rFonts w:cstheme="majorHAnsi"/>
          <w:lang w:val="fr-CA"/>
        </w:rPr>
        <w:t>Ressources naturelles Canada – Centre canadien de cartographie et d’observation de la Terre (RNCan-CCCOT)</w:t>
      </w:r>
    </w:p>
    <w:p w14:paraId="4098A8EB" w14:textId="685CB619" w:rsidR="00C80E8E" w:rsidRPr="0024492B" w:rsidRDefault="00C71DA7" w:rsidP="00C80E8E">
      <w:pPr>
        <w:jc w:val="both"/>
        <w:rPr>
          <w:rFonts w:asciiTheme="majorHAnsi" w:hAnsiTheme="majorHAnsi" w:cstheme="majorHAnsi"/>
          <w:lang w:val="fr-CA"/>
        </w:rPr>
      </w:pPr>
      <w:r w:rsidRPr="0024492B">
        <w:rPr>
          <w:rFonts w:asciiTheme="majorHAnsi" w:hAnsiTheme="majorHAnsi" w:cstheme="majorHAnsi"/>
          <w:lang w:val="fr-CA"/>
        </w:rPr>
        <w:t>Les contributions de RNCan-CCCOT à l’initiative GéoBase et la formation du CCT à la cartographie des interventions d’urgence s’alignent sur les objectifs de la VS8 en matière de capacités et d’éducation. L’accent mis sur la formation du personnel aux outils géospatiaux permet d’assurer l’état de préparation opérationnelle, ce qui répond aux objectifs de la VS8 en matière de renforcement des capacités de gestion des données géospatiales.</w:t>
      </w:r>
    </w:p>
    <w:p w14:paraId="16FBF40C" w14:textId="77777777" w:rsidR="009216E5" w:rsidRPr="0024492B" w:rsidRDefault="00C71DA7" w:rsidP="002F5A93">
      <w:pPr>
        <w:pStyle w:val="Heading2"/>
        <w:jc w:val="both"/>
        <w:rPr>
          <w:rFonts w:cstheme="majorHAnsi"/>
          <w:lang w:val="fr-CA"/>
        </w:rPr>
      </w:pPr>
      <w:r w:rsidRPr="0024492B">
        <w:rPr>
          <w:rFonts w:cstheme="majorHAnsi"/>
          <w:lang w:val="fr-CA"/>
        </w:rPr>
        <w:t>Alberta</w:t>
      </w:r>
    </w:p>
    <w:p w14:paraId="5ACE23C2"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 cadre de gouvernance géospatiale de l’Alberta soutient les objectifs de renforcement des capacités de la VS8 en fournissant des ressources de données structurées et des programmes de formation pour améliorer les capacités d’intervention d’urgence. Cette approche s’aligne sur les objectifs de la VS8 en matière de perfectionnement de professionnels compétents dans le domaine géospatial.</w:t>
      </w:r>
    </w:p>
    <w:p w14:paraId="313EBA8B" w14:textId="77777777" w:rsidR="009216E5" w:rsidRPr="0024492B" w:rsidRDefault="00C71DA7" w:rsidP="002F5A93">
      <w:pPr>
        <w:pStyle w:val="Heading2"/>
        <w:jc w:val="both"/>
        <w:rPr>
          <w:rFonts w:cstheme="majorHAnsi"/>
          <w:lang w:val="fr-CA"/>
        </w:rPr>
      </w:pPr>
      <w:r w:rsidRPr="0024492B">
        <w:rPr>
          <w:rFonts w:cstheme="majorHAnsi"/>
          <w:lang w:val="fr-CA"/>
        </w:rPr>
        <w:t>Colombie-Britannique</w:t>
      </w:r>
    </w:p>
    <w:p w14:paraId="4E874402" w14:textId="5EADB1F5"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stratégie géospatiale du secteur des ressources naturelles de la Colombie-Britannique comprend des éléments de renforcement des capacités, comme la formation à la gouvernance des données et aux applications des données LiDAR. Ces initiatives s’alignent avec l’accent mis par la VS8 sur le perfectionnement des ressources et l’éducation à des pratiques géospatiales efficaces.</w:t>
      </w:r>
    </w:p>
    <w:p w14:paraId="2C6DFC98" w14:textId="77777777" w:rsidR="009216E5" w:rsidRPr="0024492B" w:rsidRDefault="00C71DA7" w:rsidP="002F5A93">
      <w:pPr>
        <w:pStyle w:val="Heading2"/>
        <w:jc w:val="both"/>
        <w:rPr>
          <w:rFonts w:cstheme="majorHAnsi"/>
          <w:lang w:val="fr-CA"/>
        </w:rPr>
      </w:pPr>
      <w:r w:rsidRPr="0024492B">
        <w:rPr>
          <w:rFonts w:cstheme="majorHAnsi"/>
          <w:lang w:val="fr-CA"/>
        </w:rPr>
        <w:t>Territoires du Nord-Ouest</w:t>
      </w:r>
    </w:p>
    <w:p w14:paraId="12802D23" w14:textId="7777777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L’accent mis par les Territoires du Nord-Ouest sur la formation aux applications de gestion des urgences et aux outils cartographiques en libre-service soutient la VS8 en renforçant les capacités internes pour une utilisation efficace des données géospatiales. Leurs initiatives éducatives s’alignent sur les objectifs de la VS8 en ce qui concerne l’amélioration des compétences ministérielles en matière de gestion des données géospatiales.</w:t>
      </w:r>
    </w:p>
    <w:p w14:paraId="5A5049FE" w14:textId="77777777" w:rsidR="009216E5" w:rsidRPr="0024492B" w:rsidRDefault="00C71DA7" w:rsidP="002F5A93">
      <w:pPr>
        <w:pStyle w:val="Heading2"/>
        <w:jc w:val="both"/>
        <w:rPr>
          <w:rFonts w:cstheme="majorHAnsi"/>
          <w:lang w:val="fr-CA"/>
        </w:rPr>
      </w:pPr>
      <w:r w:rsidRPr="0024492B">
        <w:rPr>
          <w:rFonts w:cstheme="majorHAnsi"/>
          <w:lang w:val="fr-CA"/>
        </w:rPr>
        <w:t>Nouvelle-Écosse</w:t>
      </w:r>
    </w:p>
    <w:p w14:paraId="0DAA535E" w14:textId="77777777" w:rsidR="00BB7C8D" w:rsidRPr="00BB7C8D" w:rsidRDefault="00BB7C8D" w:rsidP="00BB7C8D">
      <w:pPr>
        <w:jc w:val="both"/>
        <w:rPr>
          <w:rFonts w:asciiTheme="majorHAnsi" w:hAnsiTheme="majorHAnsi" w:cstheme="majorHAnsi"/>
          <w:lang w:val="fr-CA"/>
        </w:rPr>
      </w:pPr>
      <w:r w:rsidRPr="00BB7C8D">
        <w:rPr>
          <w:rFonts w:asciiTheme="majorHAnsi" w:hAnsiTheme="majorHAnsi" w:cstheme="majorHAnsi"/>
          <w:lang w:val="fr-CA"/>
        </w:rPr>
        <w:t>Les programmes de formation offerts sur le SIG par la Nouvelle-Écosse s’alignent sur les objectifs en matière de capacités de la VS8 en veillant à ce que le personnel ait les compétences nécessaires pour gérer et utiliser efficacement les données géospatiales. L’accent mis sur l’éducation soutient les objectifs de la VS8 en matière de renforcement durable des capacités dans le domaine de la technologie géospatiale.</w:t>
      </w:r>
    </w:p>
    <w:p w14:paraId="308B2519" w14:textId="77777777" w:rsidR="009216E5" w:rsidRPr="0024492B" w:rsidRDefault="00C71DA7" w:rsidP="002F5A93">
      <w:pPr>
        <w:pStyle w:val="Heading2"/>
        <w:jc w:val="both"/>
        <w:rPr>
          <w:rFonts w:cstheme="majorHAnsi"/>
          <w:lang w:val="fr-CA"/>
        </w:rPr>
      </w:pPr>
      <w:r w:rsidRPr="0024492B">
        <w:rPr>
          <w:rFonts w:cstheme="majorHAnsi"/>
          <w:lang w:val="fr-CA"/>
        </w:rPr>
        <w:t>Nunavut</w:t>
      </w:r>
    </w:p>
    <w:p w14:paraId="651AF850" w14:textId="1FF905C7" w:rsidR="009216E5"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 xml:space="preserve">Les initiatives de la plateforme de données ouvertes du Nunavut soutiennent les objectifs en matière de capacités de la VS8 en améliorant l’accessibilité des données et en offrant une formation à la transparence des données, afin de permettre une plus grande participation des citoyens. </w:t>
      </w:r>
      <w:r w:rsidR="001055C3" w:rsidRPr="0024492B">
        <w:rPr>
          <w:rFonts w:asciiTheme="majorHAnsi" w:hAnsiTheme="majorHAnsi" w:cstheme="majorHAnsi"/>
          <w:lang w:val="fr-CA"/>
        </w:rPr>
        <w:t>Son</w:t>
      </w:r>
      <w:r w:rsidRPr="0024492B">
        <w:rPr>
          <w:rFonts w:asciiTheme="majorHAnsi" w:hAnsiTheme="majorHAnsi" w:cstheme="majorHAnsi"/>
          <w:lang w:val="fr-CA"/>
        </w:rPr>
        <w:t xml:space="preserve"> approche axée sur l’éducation du public et des ministères s’aligne sur les objectifs de la VS8 en matière de renforcement des capacités dans le domaine des connaissances géospatiales.</w:t>
      </w:r>
    </w:p>
    <w:p w14:paraId="708BDEFE" w14:textId="5A92939E" w:rsidR="00ED3AE9" w:rsidRPr="0024492B" w:rsidRDefault="00C71DA7" w:rsidP="009216E5">
      <w:pPr>
        <w:pStyle w:val="Heading1"/>
        <w:jc w:val="both"/>
        <w:rPr>
          <w:rFonts w:cstheme="majorHAnsi"/>
          <w:lang w:val="fr-CA"/>
        </w:rPr>
      </w:pPr>
      <w:r w:rsidRPr="0024492B">
        <w:rPr>
          <w:rFonts w:cstheme="majorHAnsi"/>
          <w:lang w:val="fr-CA"/>
        </w:rPr>
        <w:t>VS9 : Communication et mobilisation</w:t>
      </w:r>
    </w:p>
    <w:p w14:paraId="54BD4CE4" w14:textId="77777777" w:rsidR="00ED3AE9" w:rsidRPr="0024492B" w:rsidRDefault="00C71DA7" w:rsidP="002F5A93">
      <w:pPr>
        <w:pStyle w:val="Heading2"/>
        <w:jc w:val="both"/>
        <w:rPr>
          <w:rFonts w:cstheme="majorHAnsi"/>
          <w:lang w:val="fr-CA"/>
        </w:rPr>
      </w:pPr>
      <w:r w:rsidRPr="0024492B">
        <w:rPr>
          <w:rFonts w:cstheme="majorHAnsi"/>
          <w:lang w:val="fr-CA"/>
        </w:rPr>
        <w:t>Agriculture et Agroalimentaire Canada (AAC)</w:t>
      </w:r>
    </w:p>
    <w:p w14:paraId="2E0E156C" w14:textId="120BE42A" w:rsidR="009216E5" w:rsidRPr="0024492B" w:rsidRDefault="00C71DA7" w:rsidP="009216E5">
      <w:pPr>
        <w:jc w:val="both"/>
        <w:rPr>
          <w:rFonts w:asciiTheme="majorHAnsi" w:hAnsiTheme="majorHAnsi" w:cstheme="majorHAnsi"/>
          <w:lang w:val="fr-CA"/>
        </w:rPr>
      </w:pPr>
      <w:r w:rsidRPr="0024492B">
        <w:rPr>
          <w:rFonts w:asciiTheme="majorHAnsi" w:hAnsiTheme="majorHAnsi" w:cstheme="majorHAnsi"/>
          <w:lang w:val="fr-CA"/>
        </w:rPr>
        <w:t>L’engagement d’AAC en faveur des normes FAIR en matière de données et ses initiatives sur les données agricoles à l’intention du public soutiennent les objectifs de mobilisation de la VS9 en garantissant que les intervenants ont un accès transparent aux ressources géospatiales. Des efforts ont été faits pour s’assurer que des applications ou des cartes conformes aux normes WCAG 2</w:t>
      </w:r>
      <w:r w:rsidR="00EC566B" w:rsidRPr="0024492B">
        <w:rPr>
          <w:rFonts w:asciiTheme="majorHAnsi" w:hAnsiTheme="majorHAnsi" w:cstheme="majorHAnsi"/>
          <w:lang w:val="fr-CA"/>
        </w:rPr>
        <w:t>.</w:t>
      </w:r>
      <w:r w:rsidRPr="0024492B">
        <w:rPr>
          <w:rFonts w:asciiTheme="majorHAnsi" w:hAnsiTheme="majorHAnsi" w:cstheme="majorHAnsi"/>
          <w:lang w:val="fr-CA"/>
        </w:rPr>
        <w:t>0 AA et à la BOEW du Canada sont intégrées dans leur site Web. L’accent mis sur l’accessibilité des données s’aligne sur les objectifs de la VS9 en matière d’amélioration de la communication et de la mobilisation.</w:t>
      </w:r>
    </w:p>
    <w:p w14:paraId="4E0934A1" w14:textId="39E05EB7" w:rsidR="00C80E8E" w:rsidRPr="0024492B" w:rsidRDefault="00C71DA7" w:rsidP="00C80E8E">
      <w:pPr>
        <w:pStyle w:val="Heading2"/>
        <w:jc w:val="both"/>
        <w:rPr>
          <w:rFonts w:cstheme="majorHAnsi"/>
          <w:lang w:val="fr-CA"/>
        </w:rPr>
      </w:pPr>
      <w:r w:rsidRPr="0024492B">
        <w:rPr>
          <w:rFonts w:cstheme="majorHAnsi"/>
          <w:lang w:val="fr-CA"/>
        </w:rPr>
        <w:t>Logement, Infrastructures et Collectivités Canada (LICC)</w:t>
      </w:r>
    </w:p>
    <w:p w14:paraId="5234DFAD" w14:textId="60AE93C6" w:rsidR="00C80E8E" w:rsidRPr="0024492B" w:rsidRDefault="00C71DA7" w:rsidP="00C80E8E">
      <w:pPr>
        <w:jc w:val="both"/>
        <w:rPr>
          <w:rFonts w:asciiTheme="majorHAnsi" w:hAnsiTheme="majorHAnsi" w:cstheme="majorHAnsi"/>
          <w:lang w:val="fr-CA"/>
        </w:rPr>
      </w:pPr>
      <w:r w:rsidRPr="0024492B">
        <w:rPr>
          <w:rFonts w:asciiTheme="majorHAnsi" w:hAnsiTheme="majorHAnsi" w:cstheme="majorHAnsi"/>
          <w:lang w:val="fr-CA"/>
        </w:rPr>
        <w:t>LICC soutient la VS9 en promouvant des outils qui améliorent la transparence des données et l’accès des intervenants aux renseignements essentiels. En mobilisant le public et les intervenants par l’intermédiaire de données ouvertes et accessibles, LICC s’aligne sur l’accent mis par la VS9 sur la communication efficace.</w:t>
      </w:r>
    </w:p>
    <w:p w14:paraId="0A748B15" w14:textId="77777777" w:rsidR="00C80E8E" w:rsidRPr="0024492B" w:rsidRDefault="00C71DA7" w:rsidP="00C80E8E">
      <w:pPr>
        <w:pStyle w:val="Heading2"/>
        <w:jc w:val="both"/>
        <w:rPr>
          <w:rFonts w:cstheme="majorHAnsi"/>
          <w:lang w:val="fr-CA"/>
        </w:rPr>
      </w:pPr>
      <w:r w:rsidRPr="0024492B">
        <w:rPr>
          <w:rFonts w:cstheme="majorHAnsi"/>
          <w:lang w:val="fr-CA"/>
        </w:rPr>
        <w:t>Ressources naturelles Canada – Centre canadien de cartographie et d’observation de la Terre (RNCan-CCCOT)</w:t>
      </w:r>
    </w:p>
    <w:p w14:paraId="3408690A" w14:textId="6F4344BE" w:rsidR="00C80E8E" w:rsidRPr="0024492B" w:rsidRDefault="00C71DA7" w:rsidP="1D7C572A">
      <w:pPr>
        <w:jc w:val="both"/>
        <w:rPr>
          <w:rFonts w:asciiTheme="majorHAnsi" w:hAnsiTheme="majorHAnsi" w:cstheme="majorBidi"/>
          <w:lang w:val="fr-CA"/>
        </w:rPr>
      </w:pPr>
      <w:r w:rsidRPr="0024492B">
        <w:rPr>
          <w:rFonts w:asciiTheme="majorHAnsi" w:hAnsiTheme="majorHAnsi" w:cstheme="majorBidi"/>
          <w:lang w:val="fr-CA"/>
        </w:rPr>
        <w:t xml:space="preserve">Les produits de cartographie des interventions d’urgence de GéoBase, du CCT et de GéoDécouverte de RNCan-CCCOT s’alignent sur les objectifs de communication de la VS9 en garantissant des données accessibles et opportunes aux </w:t>
      </w:r>
      <w:r w:rsidR="009F07C2" w:rsidRPr="0024492B">
        <w:rPr>
          <w:rFonts w:asciiTheme="majorHAnsi" w:hAnsiTheme="majorHAnsi" w:cstheme="majorBidi"/>
          <w:lang w:val="fr-CA"/>
        </w:rPr>
        <w:t>intervenants</w:t>
      </w:r>
      <w:r w:rsidRPr="0024492B">
        <w:rPr>
          <w:rFonts w:asciiTheme="majorHAnsi" w:hAnsiTheme="majorHAnsi" w:cstheme="majorBidi"/>
          <w:lang w:val="fr-CA"/>
        </w:rPr>
        <w:t xml:space="preserve"> publi</w:t>
      </w:r>
      <w:r w:rsidR="009F07C2" w:rsidRPr="0024492B">
        <w:rPr>
          <w:rFonts w:asciiTheme="majorHAnsi" w:hAnsiTheme="majorHAnsi" w:cstheme="majorBidi"/>
          <w:lang w:val="fr-CA"/>
        </w:rPr>
        <w:t>c</w:t>
      </w:r>
      <w:r w:rsidRPr="0024492B">
        <w:rPr>
          <w:rFonts w:asciiTheme="majorHAnsi" w:hAnsiTheme="majorHAnsi" w:cstheme="majorBidi"/>
          <w:lang w:val="fr-CA"/>
        </w:rPr>
        <w:t>s et gouvernementa</w:t>
      </w:r>
      <w:r w:rsidR="009F07C2" w:rsidRPr="0024492B">
        <w:rPr>
          <w:rFonts w:asciiTheme="majorHAnsi" w:hAnsiTheme="majorHAnsi" w:cstheme="majorBidi"/>
          <w:lang w:val="fr-CA"/>
        </w:rPr>
        <w:t>ux</w:t>
      </w:r>
      <w:r w:rsidRPr="0024492B">
        <w:rPr>
          <w:rFonts w:asciiTheme="majorHAnsi" w:hAnsiTheme="majorHAnsi" w:cstheme="majorBidi"/>
          <w:lang w:val="fr-CA"/>
        </w:rPr>
        <w:t xml:space="preserve"> (par exemple, grâce à GéoIA, de GéoBase). GEO.ca améliore continuellement l’accessibilité pour le public et l’expérience de l’utilisateur grâce à de nouvelles initiatives et à des innovations technologiques, ainsi qu’à la construction conjointe de nouveaux outils qui seront enrichis et intégrés par d’autres. Ses efforts pour créer des ressources de données normalisées et ouvertes soutiennent les objectifs de la VS9 en matière de mobilisation et de communication proactives.</w:t>
      </w:r>
    </w:p>
    <w:p w14:paraId="7D3BA0E3" w14:textId="77777777" w:rsidR="00ED3AE9" w:rsidRPr="0024492B" w:rsidRDefault="00C71DA7" w:rsidP="002F5A93">
      <w:pPr>
        <w:pStyle w:val="Heading2"/>
        <w:jc w:val="both"/>
        <w:rPr>
          <w:rFonts w:cstheme="majorHAnsi"/>
          <w:lang w:val="fr-CA"/>
        </w:rPr>
      </w:pPr>
      <w:r w:rsidRPr="0024492B">
        <w:rPr>
          <w:rFonts w:cstheme="majorHAnsi"/>
          <w:lang w:val="fr-CA"/>
        </w:rPr>
        <w:t>Alberta</w:t>
      </w:r>
    </w:p>
    <w:p w14:paraId="73983167" w14:textId="44D4AF6F" w:rsidR="00ED3AE9"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 cadre de gouvernance structuré de l’Alberta comprend des outils d’intervention d’urgence à l’intention du public qui soutiennent les objectifs de communication de la VS9. En fournissant des données actualisées sur les catastrophes naturelles, la province renforce la mobilisation du public et garantit que les renseignements essentiels sont accessibles à la communauté, ce qui s’aligne avec les objectifs de la VS9. L’Alberta poursuit ses travaux sur la gouvernance géospatiale pour la plateforme, les données, le contenu et les services, et prévoit de renforcer les relations intraministérielles et la collaboration dans le domaine géospatial.</w:t>
      </w:r>
    </w:p>
    <w:p w14:paraId="30AC2FE2" w14:textId="77777777" w:rsidR="00ED3AE9" w:rsidRPr="0024492B" w:rsidRDefault="00C71DA7" w:rsidP="002F5A93">
      <w:pPr>
        <w:pStyle w:val="Heading2"/>
        <w:jc w:val="both"/>
        <w:rPr>
          <w:rFonts w:cstheme="majorHAnsi"/>
          <w:lang w:val="fr-CA"/>
        </w:rPr>
      </w:pPr>
      <w:r w:rsidRPr="0024492B">
        <w:rPr>
          <w:rFonts w:cstheme="majorHAnsi"/>
          <w:lang w:val="fr-CA"/>
        </w:rPr>
        <w:t>Colombie-Britannique</w:t>
      </w:r>
    </w:p>
    <w:p w14:paraId="58B5C77E" w14:textId="4875375E" w:rsidR="00ED3AE9"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stratégie géospatiale du secteur des ressources naturelles de la Colombie-Britannique comprend des initiatives de partage de données publiques qui favorisent la mobilisation de la communauté. En mettant l’accent sur l’accessibilité des données LiDAR et des renseignements environnementaux, elle soutient les objectifs de communication transparente et de participation des intervenants de la VS9.</w:t>
      </w:r>
    </w:p>
    <w:p w14:paraId="7658B618" w14:textId="77777777" w:rsidR="00ED3AE9" w:rsidRPr="0024492B" w:rsidRDefault="00C71DA7" w:rsidP="002F5A93">
      <w:pPr>
        <w:pStyle w:val="Heading2"/>
        <w:jc w:val="both"/>
        <w:rPr>
          <w:rFonts w:cstheme="majorHAnsi"/>
          <w:lang w:val="fr-CA"/>
        </w:rPr>
      </w:pPr>
      <w:r w:rsidRPr="0024492B">
        <w:rPr>
          <w:rFonts w:cstheme="majorHAnsi"/>
          <w:lang w:val="fr-CA"/>
        </w:rPr>
        <w:t>Terre-Neuve-et-Labrador</w:t>
      </w:r>
    </w:p>
    <w:p w14:paraId="444EA1A4" w14:textId="77777777" w:rsidR="00ED3AE9"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La plateforme géospatiale du gouvernement de Terre-Neuve-et-Labrador et le tableau de bord des feux de forêt de la province soutiennent les objectifs en matière de communication de la VS9 en rendant les données géospatiales en temps réel accessibles au public. Ces outils renforcent la mobilisation du public et la transparence, conformément à l’accent mis par la VS9 sur les ressources de données ouvertes et communicatives.</w:t>
      </w:r>
    </w:p>
    <w:p w14:paraId="179BF236" w14:textId="77777777" w:rsidR="00ED3AE9" w:rsidRPr="0024492B" w:rsidRDefault="00C71DA7" w:rsidP="002F5A93">
      <w:pPr>
        <w:pStyle w:val="Heading2"/>
        <w:jc w:val="both"/>
        <w:rPr>
          <w:rFonts w:cstheme="majorHAnsi"/>
          <w:lang w:val="fr-CA"/>
        </w:rPr>
      </w:pPr>
      <w:r w:rsidRPr="0024492B">
        <w:rPr>
          <w:rFonts w:cstheme="majorHAnsi"/>
          <w:lang w:val="fr-CA"/>
        </w:rPr>
        <w:t>Territoires du Nord-Ouest</w:t>
      </w:r>
    </w:p>
    <w:p w14:paraId="7E22F4CC" w14:textId="77777777" w:rsidR="009216E5" w:rsidRPr="0024492B" w:rsidRDefault="00C71DA7" w:rsidP="009216E5">
      <w:pPr>
        <w:jc w:val="both"/>
        <w:rPr>
          <w:rFonts w:asciiTheme="majorHAnsi" w:hAnsiTheme="majorHAnsi" w:cstheme="majorHAnsi"/>
          <w:lang w:val="fr-CA"/>
        </w:rPr>
      </w:pPr>
      <w:r w:rsidRPr="0024492B">
        <w:rPr>
          <w:rFonts w:asciiTheme="majorHAnsi" w:hAnsiTheme="majorHAnsi" w:cstheme="majorHAnsi"/>
          <w:lang w:val="fr-CA"/>
        </w:rPr>
        <w:t>Les applications de cartographie des risques et d’intervention en cas d’urgences publiques des Territoires du Nord-Ouest soutiennent les objectifs de mobilisation de la VS9 en mettant des données géospatiales à la disposition des communautés pour la préparation aux crises. L’accent mis sur la mobilisation de la communauté s’aligne sur les objectifs de la VS9 en matière de stratégies de communication proactives et transparentes.</w:t>
      </w:r>
    </w:p>
    <w:p w14:paraId="54A7CF18" w14:textId="77777777" w:rsidR="00ED3AE9" w:rsidRPr="0024492B" w:rsidRDefault="00C71DA7" w:rsidP="002F5A93">
      <w:pPr>
        <w:pStyle w:val="Heading2"/>
        <w:jc w:val="both"/>
        <w:rPr>
          <w:rFonts w:cstheme="majorHAnsi"/>
          <w:lang w:val="fr-CA"/>
        </w:rPr>
      </w:pPr>
      <w:r w:rsidRPr="0024492B">
        <w:rPr>
          <w:rFonts w:cstheme="majorHAnsi"/>
          <w:lang w:val="fr-CA"/>
        </w:rPr>
        <w:t>Nouvelle-Écosse</w:t>
      </w:r>
    </w:p>
    <w:p w14:paraId="0592E9C9" w14:textId="77777777" w:rsidR="00BB7C8D" w:rsidRPr="00BB7C8D" w:rsidRDefault="00BB7C8D" w:rsidP="00BB7C8D">
      <w:pPr>
        <w:jc w:val="both"/>
        <w:rPr>
          <w:rFonts w:asciiTheme="majorHAnsi" w:hAnsiTheme="majorHAnsi" w:cstheme="majorHAnsi"/>
          <w:lang w:val="fr-CA"/>
        </w:rPr>
      </w:pPr>
      <w:r w:rsidRPr="00BB7C8D">
        <w:rPr>
          <w:rFonts w:asciiTheme="majorHAnsi" w:hAnsiTheme="majorHAnsi" w:cstheme="majorHAnsi"/>
          <w:lang w:val="fr-CA"/>
        </w:rPr>
        <w:t>La cartographie des risques côtiers et le tableau de bord interactif de la Nouvelle-Écosse favorisent les objectifs de mobilisation de la VS9 en faisant connaître les applications de données géospatiales au public. Ses initiatives en matière de distribution de données géographiques soutiennent l’accent mis par la VS9 sur la communication et la participation des intervenants au moyen de renseignements accessibles.</w:t>
      </w:r>
    </w:p>
    <w:p w14:paraId="221FBC56" w14:textId="77777777" w:rsidR="00ED3AE9" w:rsidRPr="0024492B" w:rsidRDefault="00C71DA7" w:rsidP="002F5A93">
      <w:pPr>
        <w:pStyle w:val="Heading2"/>
        <w:jc w:val="both"/>
        <w:rPr>
          <w:rFonts w:cstheme="majorHAnsi"/>
          <w:lang w:val="fr-CA"/>
        </w:rPr>
      </w:pPr>
      <w:r w:rsidRPr="0024492B">
        <w:rPr>
          <w:rFonts w:cstheme="majorHAnsi"/>
          <w:lang w:val="fr-CA"/>
        </w:rPr>
        <w:t>Nunavut</w:t>
      </w:r>
    </w:p>
    <w:p w14:paraId="3688ECC2" w14:textId="49B8C021" w:rsidR="00ED3AE9"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Les initiatives de plateforme de données ouvertes et de plateforme géospatiale du Nunavut soutiennent les objectifs de communication de la VS9 en encourageant la transparence et la mobilisation du public en matière de données géospatiales. Elles ont pour but d’instaurer la découverte de données et la collaboration au sein de l’organisation pour les données géospatiales et les catalogues externes des partenaires. L’accent mis sur l’accessibilité des ressources de données s’aligne sur les objectifs de la VS9 en matière de communication claire et efficace avec les intervenants.</w:t>
      </w:r>
    </w:p>
    <w:p w14:paraId="3DEFAD30" w14:textId="1794E664" w:rsidR="00ED3AE9" w:rsidRPr="0024492B" w:rsidRDefault="00C71DA7" w:rsidP="5502CF07">
      <w:pPr>
        <w:pStyle w:val="Heading2"/>
        <w:jc w:val="both"/>
        <w:rPr>
          <w:lang w:val="fr-CA"/>
        </w:rPr>
      </w:pPr>
      <w:r w:rsidRPr="0024492B">
        <w:rPr>
          <w:lang w:val="fr-CA"/>
        </w:rPr>
        <w:t>Québec</w:t>
      </w:r>
    </w:p>
    <w:p w14:paraId="1E890E61" w14:textId="4F071619" w:rsidR="5842C1FD" w:rsidRPr="0024492B" w:rsidRDefault="00C71DA7" w:rsidP="5502CF07">
      <w:pPr>
        <w:jc w:val="both"/>
        <w:rPr>
          <w:rFonts w:asciiTheme="majorHAnsi" w:hAnsiTheme="majorHAnsi" w:cstheme="majorBidi"/>
          <w:lang w:val="fr-CA"/>
        </w:rPr>
      </w:pPr>
      <w:r w:rsidRPr="0024492B">
        <w:rPr>
          <w:rFonts w:asciiTheme="majorHAnsi" w:hAnsiTheme="majorHAnsi" w:cstheme="majorBidi"/>
          <w:lang w:val="fr-CA"/>
        </w:rPr>
        <w:t>Les initiatives géospatiales du Québec, notamment les plateformes de données ouvertes et les plans de protection contre les inondations, soutiennent la VS9 en mobilisant les acteurs publics et privés. L’accent mis sur les ressources géospatiales accessibles s’aligne sur les objectifs de la VS9 en matière de communication ouverte et d’engagement public accru.</w:t>
      </w:r>
    </w:p>
    <w:p w14:paraId="172BFED0" w14:textId="77777777" w:rsidR="00ED3AE9" w:rsidRPr="0024492B" w:rsidRDefault="00C71DA7" w:rsidP="002F5A93">
      <w:pPr>
        <w:pStyle w:val="Heading2"/>
        <w:jc w:val="both"/>
        <w:rPr>
          <w:rFonts w:cstheme="majorHAnsi"/>
          <w:lang w:val="fr-CA"/>
        </w:rPr>
      </w:pPr>
      <w:r w:rsidRPr="0024492B">
        <w:rPr>
          <w:rFonts w:cstheme="majorHAnsi"/>
          <w:lang w:val="fr-CA"/>
        </w:rPr>
        <w:t>Yukon</w:t>
      </w:r>
    </w:p>
    <w:p w14:paraId="0DDB40EA" w14:textId="44BE0DE2" w:rsidR="00ED3AE9" w:rsidRPr="0024492B" w:rsidRDefault="00C71DA7" w:rsidP="002F5A93">
      <w:pPr>
        <w:jc w:val="both"/>
        <w:rPr>
          <w:rFonts w:asciiTheme="majorHAnsi" w:hAnsiTheme="majorHAnsi" w:cstheme="majorHAnsi"/>
          <w:lang w:val="fr-CA"/>
        </w:rPr>
      </w:pPr>
      <w:r w:rsidRPr="0024492B">
        <w:rPr>
          <w:rFonts w:asciiTheme="majorHAnsi" w:hAnsiTheme="majorHAnsi" w:cstheme="majorHAnsi"/>
          <w:lang w:val="fr-CA"/>
        </w:rPr>
        <w:t>Le programme d’adressage municipal et la plateforme de données ouvertes du Yukon visent à faire progresser les objectifs de communication de la VS9 en fournissant des renseignements géospatiaux précis aux gouvernements locaux et au public. Ces initiatives garantissent que les données sont à la fois accessibles et compréhensibles, répondant ainsi aux objectifs de communication et de mobilisation de la VS9.</w:t>
      </w:r>
    </w:p>
    <w:sectPr w:rsidR="00ED3AE9" w:rsidRPr="0024492B"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CD187" w14:textId="77777777" w:rsidR="00905D23" w:rsidRDefault="00905D23">
      <w:pPr>
        <w:spacing w:after="0" w:line="240" w:lineRule="auto"/>
      </w:pPr>
      <w:r>
        <w:separator/>
      </w:r>
    </w:p>
  </w:endnote>
  <w:endnote w:type="continuationSeparator" w:id="0">
    <w:p w14:paraId="6B5812EC" w14:textId="77777777" w:rsidR="00905D23" w:rsidRDefault="0090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7155" w14:textId="77777777" w:rsidR="006B399C" w:rsidRDefault="006B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5B11" w14:textId="006D67CE" w:rsidR="00135FE4" w:rsidRPr="00135FE4" w:rsidRDefault="00C71DA7">
    <w:pPr>
      <w:pStyle w:val="Footer"/>
    </w:pPr>
    <w:r>
      <w:rPr>
        <w:lang w:val="fr-CA"/>
      </w:rPr>
      <w:t>ÉBAUCHE – 11 décembre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2989E" w14:textId="77777777" w:rsidR="006B399C" w:rsidRDefault="006B3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89F36" w14:textId="77777777" w:rsidR="00905D23" w:rsidRDefault="00905D23" w:rsidP="008B5A03">
      <w:pPr>
        <w:spacing w:after="0" w:line="240" w:lineRule="auto"/>
      </w:pPr>
      <w:r>
        <w:separator/>
      </w:r>
    </w:p>
  </w:footnote>
  <w:footnote w:type="continuationSeparator" w:id="0">
    <w:p w14:paraId="161A6823" w14:textId="77777777" w:rsidR="00905D23" w:rsidRDefault="00905D23" w:rsidP="008B5A03">
      <w:pPr>
        <w:spacing w:after="0" w:line="240" w:lineRule="auto"/>
      </w:pPr>
      <w:r>
        <w:continuationSeparator/>
      </w:r>
    </w:p>
  </w:footnote>
  <w:footnote w:type="continuationNotice" w:id="1">
    <w:p w14:paraId="0D870A47" w14:textId="77777777" w:rsidR="00905D23" w:rsidRDefault="00905D23">
      <w:pPr>
        <w:spacing w:after="0" w:line="240" w:lineRule="auto"/>
      </w:pPr>
    </w:p>
  </w:footnote>
  <w:footnote w:id="2">
    <w:p w14:paraId="12D4A32A" w14:textId="1A0C8FF4" w:rsidR="00AC0494" w:rsidRPr="00BB7C8D" w:rsidRDefault="00C71DA7">
      <w:pPr>
        <w:pStyle w:val="FootnoteText"/>
        <w:rPr>
          <w:lang w:val="fr-CA"/>
        </w:rPr>
      </w:pPr>
      <w:r>
        <w:rPr>
          <w:rStyle w:val="FootnoteReference"/>
          <w:lang w:val="fr-CA"/>
        </w:rPr>
        <w:footnoteRef/>
      </w:r>
      <w:r>
        <w:rPr>
          <w:lang w:val="fr-CA"/>
        </w:rPr>
        <w:t xml:space="preserve"> Les contributions des divisions suivantes du CCCOT sont indiquées comme suit : Centre canadien de télédétection (CCT), GéoBase, GéoDécouverte (responsable de GEO.ca), division de l’Infrastructure canadienne de données géospatiales (ICDG) (responsable du programme GéoConnexions et de la Commission de toponymie du Canada).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6757A" w14:textId="3824CB61" w:rsidR="008B5A03" w:rsidRDefault="00C71DA7">
    <w:pPr>
      <w:pStyle w:val="Header"/>
    </w:pPr>
    <w:r>
      <w:rPr>
        <w:noProof/>
        <w:lang w:val="fr-CA"/>
      </w:rPr>
      <mc:AlternateContent>
        <mc:Choice Requires="wps">
          <w:drawing>
            <wp:anchor distT="0" distB="0" distL="0" distR="0" simplePos="0" relativeHeight="251660288" behindDoc="0" locked="0" layoutInCell="1" allowOverlap="1" wp14:anchorId="19EA6A3B" wp14:editId="50FA0677">
              <wp:simplePos x="0" y="0"/>
              <wp:positionH relativeFrom="page">
                <wp:align>right</wp:align>
              </wp:positionH>
              <wp:positionV relativeFrom="page">
                <wp:align>top</wp:align>
              </wp:positionV>
              <wp:extent cx="2181225" cy="404495"/>
              <wp:effectExtent l="0" t="0" r="0" b="14605"/>
              <wp:wrapNone/>
              <wp:docPr id="970384220"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1225" cy="404495"/>
                      </a:xfrm>
                      <a:prstGeom prst="rect">
                        <a:avLst/>
                      </a:prstGeom>
                      <a:noFill/>
                      <a:ln>
                        <a:noFill/>
                      </a:ln>
                    </wps:spPr>
                    <wps:txbx>
                      <w:txbxContent>
                        <w:p w14:paraId="4BC40DDE" w14:textId="77777777" w:rsidR="008B5A03" w:rsidRPr="008B5A03" w:rsidRDefault="00C71DA7" w:rsidP="008B5A03">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CA"/>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9EA6A3B" id="_x0000_t202" coordsize="21600,21600" o:spt="202" path="m,l,21600r21600,l21600,xe">
              <v:stroke joinstyle="miter"/>
              <v:path gradientshapeok="t" o:connecttype="rect"/>
            </v:shapetype>
            <v:shape id="Text Box 2" o:spid="_x0000_s1026" type="#_x0000_t202" alt="UNCLASSIFIED – NON CLASSIFIÉ" style="position:absolute;margin-left:120.55pt;margin-top:0;width:171.75pt;height:31.8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MjDgIAABsEAAAOAAAAZHJzL2Uyb0RvYy54bWysU1tr2zAUfh/sPwi9L76QjNbEKVlLxiC0&#10;hXT0WZGl2CDpCEmJnf36HclOs3V7GnuRz83n8p3vLO8GrchJON+BqWkxyykRhkPTmUNNv79sPt1Q&#10;4gMzDVNgRE3PwtO71ccPy95WooQWVCMcwSTGV72taRuCrbLM81Zo5mdghUGnBKdZQNUdssaxHrNr&#10;lZV5/jnrwTXWARfeo/VhdNJVyi+l4OFJSi8CUTXF3kJ6XXr38c1WS1YdHLNtx6c22D90oVlnsOhb&#10;qgcWGDm67o9UuuMOPMgw46AzkLLjIs2A0xT5u2l2LbMizYLgePsGk/9/afnjaWefHQnDFxhwgRGQ&#10;3vrKozHOM0in4xc7JehHCM9vsIkhEI7GsrgpynJBCUffPJ/PbxcxTXb92zofvgrQJAo1dbiWhBY7&#10;bX0YQy8hsZiBTadUWo0yvxkwZ7Rk1xajFIb9MPW9h+aM4zgYN+0t33RYc8t8eGYOV4sTIF3DEz5S&#10;QV9TmCRKWnA//maP8Yg4einpkSo1NchlStQ3g5uIrEpCcZsvctRc0srFPI/a/hJkjvoekIUFHoTl&#10;SYzBQV1E6UC/IpvXsRq6mOFYs6bhIt6Hkbh4DVys1ykIWWRZ2Jqd5TF1BCsi+TK8MmcnuAMu6hEu&#10;ZGLVO9TH2Pint+tjQOzTSiKwI5oT3sjAtNTpWiLFf9VT1PWmVz8BAAD//wMAUEsDBBQABgAIAAAA&#10;IQBgJPZU3gAAAAQBAAAPAAAAZHJzL2Rvd25yZXYueG1sTI/BTsMwEETvSPyDtUhcEHUgUEqIUyGk&#10;SvTQA4UcuG3ibRIRryPbTZO/x3CBy0qjGc28zdeT6cVIzneWFdwsEhDEtdUdNwo+3jfXKxA+IGvs&#10;LZOCmTysi/OzHDNtT/xG4z40Ipawz1BBG8KQSenrlgz6hR2Io3ewzmCI0jVSOzzFctPL2yRZSoMd&#10;x4UWB3ppqf7aH42CcnJXu83j9nWuPrtxTrZlujqUSl1eTM9PIAJN4S8MP/gRHYrIVNkjay96BfGR&#10;8Hujl96l9yAqBcv0AWSRy//wxTcAAAD//wMAUEsBAi0AFAAGAAgAAAAhALaDOJL+AAAA4QEAABMA&#10;AAAAAAAAAAAAAAAAAAAAAFtDb250ZW50X1R5cGVzXS54bWxQSwECLQAUAAYACAAAACEAOP0h/9YA&#10;AACUAQAACwAAAAAAAAAAAAAAAAAvAQAAX3JlbHMvLnJlbHNQSwECLQAUAAYACAAAACEATSbTIw4C&#10;AAAbBAAADgAAAAAAAAAAAAAAAAAuAgAAZHJzL2Uyb0RvYy54bWxQSwECLQAUAAYACAAAACEAYCT2&#10;VN4AAAAEAQAADwAAAAAAAAAAAAAAAABoBAAAZHJzL2Rvd25yZXYueG1sUEsFBgAAAAAEAAQA8wAA&#10;AHMFAAAAAA==&#10;" filled="f" stroked="f">
              <v:textbox style="mso-fit-shape-to-text:t" inset="0,15pt,20pt,0">
                <w:txbxContent>
                  <w:p w14:paraId="4BC40DDE" w14:textId="77777777" w:rsidR="008B5A03" w:rsidRPr="008B5A03" w:rsidRDefault="00C71DA7" w:rsidP="008B5A03">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CA"/>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8292" w14:textId="06DB5853" w:rsidR="008B5A03" w:rsidRDefault="00C71DA7">
    <w:pPr>
      <w:pStyle w:val="Header"/>
    </w:pPr>
    <w:r>
      <w:rPr>
        <w:noProof/>
        <w:lang w:val="fr-CA"/>
      </w:rPr>
      <mc:AlternateContent>
        <mc:Choice Requires="wps">
          <w:drawing>
            <wp:anchor distT="0" distB="0" distL="0" distR="0" simplePos="0" relativeHeight="251662336" behindDoc="0" locked="0" layoutInCell="1" allowOverlap="1" wp14:anchorId="22D6E371" wp14:editId="28E02238">
              <wp:simplePos x="0" y="0"/>
              <wp:positionH relativeFrom="page">
                <wp:align>right</wp:align>
              </wp:positionH>
              <wp:positionV relativeFrom="page">
                <wp:align>top</wp:align>
              </wp:positionV>
              <wp:extent cx="2181225" cy="404495"/>
              <wp:effectExtent l="0" t="0" r="0" b="14605"/>
              <wp:wrapNone/>
              <wp:docPr id="995050265"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1225" cy="404495"/>
                      </a:xfrm>
                      <a:prstGeom prst="rect">
                        <a:avLst/>
                      </a:prstGeom>
                      <a:noFill/>
                      <a:ln>
                        <a:noFill/>
                      </a:ln>
                    </wps:spPr>
                    <wps:txbx>
                      <w:txbxContent>
                        <w:p w14:paraId="22277F20" w14:textId="77777777" w:rsidR="008B5A03" w:rsidRPr="008B5A03" w:rsidRDefault="00C71DA7" w:rsidP="008B5A03">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CA"/>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2D6E371" id="_x0000_t202" coordsize="21600,21600" o:spt="202" path="m,l,21600r21600,l21600,xe">
              <v:stroke joinstyle="miter"/>
              <v:path gradientshapeok="t" o:connecttype="rect"/>
            </v:shapetype>
            <v:shape id="Text Box 3" o:spid="_x0000_s1027" type="#_x0000_t202" alt="UNCLASSIFIED – NON CLASSIFIÉ" style="position:absolute;margin-left:120.55pt;margin-top:0;width:171.75pt;height:31.8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6KEQIAACIEAAAOAAAAZHJzL2Uyb0RvYy54bWysU8lu2zAQvRfoPxC811pgF4lgOXATuChg&#10;JAGcImeaIi0BJIcgaUvu13dIeUnSnopeqNk0nHnvcX43aEUOwvkOTE2LSU6JMByazuxq+vNl9eWG&#10;Eh+YaZgCI2p6FJ7eLT5/mve2EiW0oBrhCDYxvuptTdsQbJVlnrdCMz8BKwwmJTjNArpulzWO9dhd&#10;q6zM869ZD66xDrjwHqMPY5IuUn8pBQ9PUnoRiKopzhbS6dK5jWe2mLNq55htO34ag/3DFJp1Bi+9&#10;tHpggZG96/5opTvuwIMMEw46Ayk7LtIOuE2Rf9hm0zIr0i4IjrcXmPz/a8sfDxv77EgYvsGABEZA&#10;eusrj8G4zyCdjl+clGAeITxeYBNDIByDZXFTlOWMEo65aT6d3s5im+z6t3U+fBegSTRq6pCWhBY7&#10;rH0YS88l8TIDq06pRI0y7wLYM0ay64jRCsN2IF3zZvwtNEfcysFIuLd81eHVa+bDM3PIMC6Cqg1P&#10;eEgFfU3hZFHSgvv1t3isR+AxS0mPiqmpQUlTon4YJCSKKxnFbT7L0XPJK2fTPHrbc5HZ63tAMRb4&#10;LixPZiwO6mxKB/oVRb2Mt2GKGY531jSczfsw6hcfBRfLZSpCMVkW1mZjeWwdMYuAvgyvzNkT6gH5&#10;eoSzplj1AfyxNv7p7XIfkILETMR3RPMEOwoxcXt6NFHpb/1UdX3ai98AAAD//wMAUEsDBBQABgAI&#10;AAAAIQBgJPZU3gAAAAQBAAAPAAAAZHJzL2Rvd25yZXYueG1sTI/BTsMwEETvSPyDtUhcEHUgUEqI&#10;UyGkSvTQA4UcuG3ibRIRryPbTZO/x3CBy0qjGc28zdeT6cVIzneWFdwsEhDEtdUdNwo+3jfXKxA+&#10;IGvsLZOCmTysi/OzHDNtT/xG4z40Ipawz1BBG8KQSenrlgz6hR2Io3ewzmCI0jVSOzzFctPL2yRZ&#10;SoMdx4UWB3ppqf7aH42CcnJXu83j9nWuPrtxTrZlujqUSl1eTM9PIAJN4S8MP/gRHYrIVNkjay96&#10;BfGR8Hujl96l9yAqBcv0AWSRy//wxTcAAAD//wMAUEsBAi0AFAAGAAgAAAAhALaDOJL+AAAA4QEA&#10;ABMAAAAAAAAAAAAAAAAAAAAAAFtDb250ZW50X1R5cGVzXS54bWxQSwECLQAUAAYACAAAACEAOP0h&#10;/9YAAACUAQAACwAAAAAAAAAAAAAAAAAvAQAAX3JlbHMvLnJlbHNQSwECLQAUAAYACAAAACEAnYtO&#10;ihECAAAiBAAADgAAAAAAAAAAAAAAAAAuAgAAZHJzL2Uyb0RvYy54bWxQSwECLQAUAAYACAAAACEA&#10;YCT2VN4AAAAEAQAADwAAAAAAAAAAAAAAAABrBAAAZHJzL2Rvd25yZXYueG1sUEsFBgAAAAAEAAQA&#10;8wAAAHYFAAAAAA==&#10;" filled="f" stroked="f">
              <v:textbox style="mso-fit-shape-to-text:t" inset="0,15pt,20pt,0">
                <w:txbxContent>
                  <w:p w14:paraId="22277F20" w14:textId="77777777" w:rsidR="008B5A03" w:rsidRPr="008B5A03" w:rsidRDefault="00C71DA7" w:rsidP="008B5A03">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CA"/>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87A3" w14:textId="2ACB8489" w:rsidR="008B5A03" w:rsidRDefault="00C71DA7">
    <w:pPr>
      <w:pStyle w:val="Header"/>
    </w:pPr>
    <w:r>
      <w:rPr>
        <w:noProof/>
        <w:lang w:val="fr-CA"/>
      </w:rPr>
      <mc:AlternateContent>
        <mc:Choice Requires="wps">
          <w:drawing>
            <wp:anchor distT="0" distB="0" distL="0" distR="0" simplePos="0" relativeHeight="251658240" behindDoc="0" locked="0" layoutInCell="1" allowOverlap="1" wp14:anchorId="398D92B7" wp14:editId="07423E31">
              <wp:simplePos x="0" y="0"/>
              <wp:positionH relativeFrom="page">
                <wp:align>right</wp:align>
              </wp:positionH>
              <wp:positionV relativeFrom="page">
                <wp:align>top</wp:align>
              </wp:positionV>
              <wp:extent cx="2181225" cy="404495"/>
              <wp:effectExtent l="0" t="0" r="0" b="14605"/>
              <wp:wrapNone/>
              <wp:docPr id="175905757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1225" cy="404495"/>
                      </a:xfrm>
                      <a:prstGeom prst="rect">
                        <a:avLst/>
                      </a:prstGeom>
                      <a:noFill/>
                      <a:ln>
                        <a:noFill/>
                      </a:ln>
                    </wps:spPr>
                    <wps:txbx>
                      <w:txbxContent>
                        <w:p w14:paraId="3C8FAFF9" w14:textId="77777777" w:rsidR="008B5A03" w:rsidRPr="008B5A03" w:rsidRDefault="00C71DA7" w:rsidP="008B5A03">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CA"/>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8D92B7" id="_x0000_t202" coordsize="21600,21600" o:spt="202" path="m,l,21600r21600,l21600,xe">
              <v:stroke joinstyle="miter"/>
              <v:path gradientshapeok="t" o:connecttype="rect"/>
            </v:shapetype>
            <v:shape id="Text Box 1" o:spid="_x0000_s1028" type="#_x0000_t202" alt="UNCLASSIFIED – NON CLASSIFIÉ" style="position:absolute;margin-left:120.55pt;margin-top:0;width:171.75pt;height:31.8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3IEgIAACIEAAAOAAAAZHJzL2Uyb0RvYy54bWysU11r2zAUfR/sPwi9L/4gGa2JU7KWjEFo&#10;C+nosyJLsUHSFZISO/v1u5LjZuv2NPYi3y9f3XvO0fJu0IqchPMdmJoWs5wSYTg0nTnU9PvL5tMN&#10;JT4w0zAFRtT0LDy9W338sOxtJUpoQTXCEWxifNXbmrYh2CrLPG+FZn4GVhhMSnCaBXTdIWsc67G7&#10;VlmZ55+zHlxjHXDhPUYfxiRdpf5SCh6epPQiEFVTnC2k06VzH89stWTVwTHbdvwyBvuHKTTrDF76&#10;1uqBBUaOrvujle64Aw8yzDjoDKTsuEg74DZF/m6bXcusSLsgON6+weT/X1v+eNrZZ0fC8AUGJDAC&#10;0ltfeQzGfQbpdPzipATzCOH5DTYxBMIxWBY3RVkuKOGYm+fz+e0itsmuf1vnw1cBmkSjpg5pSWix&#10;09aHsXQqiZcZ2HRKJWqU+S2APWMku44YrTDsB9I1OMk0/h6aM27lYCTcW77p8Oot8+GZOWQYF0HV&#10;hic8pIK+pnCxKGnB/fhbPNYj8JilpEfF1NSgpClR3wwSEsWVjOI2X+ToueSVi3kevf1UZI76HlCM&#10;Bb4Ly5MZi4OaTOlAv6Ko1/E2TDHD8c6ahsm8D6N+8VFwsV6nIhSTZWFrdpbH1hGzCOjL8MqcvaAe&#10;kK9HmDTFqnfgj7XxT2/Xx4AUJGYiviOaF9hRiInby6OJSv/VT1XXp736CQAA//8DAFBLAwQUAAYA&#10;CAAAACEAYCT2VN4AAAAEAQAADwAAAGRycy9kb3ducmV2LnhtbEyPwU7DMBBE70j8g7VIXBB1IFBK&#10;iFMhpEr00AOFHLht4m0SEa8j202Tv8dwgctKoxnNvM3Xk+nFSM53lhXcLBIQxLXVHTcKPt431ysQ&#10;PiBr7C2Tgpk8rIvzsxwzbU/8RuM+NCKWsM9QQRvCkEnp65YM+oUdiKN3sM5giNI1Ujs8xXLTy9sk&#10;WUqDHceFFgd6aan+2h+NgnJyV7vN4/Z1rj67cU62Zbo6lEpdXkzPTyACTeEvDD/4ER2KyFTZI2sv&#10;egXxkfB7o5fepfcgKgXL9AFkkcv/8MU3AAAA//8DAFBLAQItABQABgAIAAAAIQC2gziS/gAAAOEB&#10;AAATAAAAAAAAAAAAAAAAAAAAAABbQ29udGVudF9UeXBlc10ueG1sUEsBAi0AFAAGAAgAAAAhADj9&#10;If/WAAAAlAEAAAsAAAAAAAAAAAAAAAAALwEAAF9yZWxzLy5yZWxzUEsBAi0AFAAGAAgAAAAhAMwd&#10;vcgSAgAAIgQAAA4AAAAAAAAAAAAAAAAALgIAAGRycy9lMm9Eb2MueG1sUEsBAi0AFAAGAAgAAAAh&#10;AGAk9lTeAAAABAEAAA8AAAAAAAAAAAAAAAAAbAQAAGRycy9kb3ducmV2LnhtbFBLBQYAAAAABAAE&#10;APMAAAB3BQAAAAA=&#10;" filled="f" stroked="f">
              <v:textbox style="mso-fit-shape-to-text:t" inset="0,15pt,20pt,0">
                <w:txbxContent>
                  <w:p w14:paraId="3C8FAFF9" w14:textId="77777777" w:rsidR="008B5A03" w:rsidRPr="008B5A03" w:rsidRDefault="00C71DA7" w:rsidP="008B5A03">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fr-CA"/>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D7779D"/>
    <w:multiLevelType w:val="hybridMultilevel"/>
    <w:tmpl w:val="23526C18"/>
    <w:lvl w:ilvl="0" w:tplc="D67C040C">
      <w:start w:val="1"/>
      <w:numFmt w:val="bullet"/>
      <w:lvlText w:val=""/>
      <w:lvlJc w:val="left"/>
      <w:pPr>
        <w:tabs>
          <w:tab w:val="num" w:pos="720"/>
        </w:tabs>
        <w:ind w:left="720" w:hanging="360"/>
      </w:pPr>
      <w:rPr>
        <w:rFonts w:ascii="Wingdings" w:hAnsi="Wingdings" w:hint="default"/>
      </w:rPr>
    </w:lvl>
    <w:lvl w:ilvl="1" w:tplc="7FCAD002" w:tentative="1">
      <w:start w:val="1"/>
      <w:numFmt w:val="bullet"/>
      <w:lvlText w:val=""/>
      <w:lvlJc w:val="left"/>
      <w:pPr>
        <w:tabs>
          <w:tab w:val="num" w:pos="1440"/>
        </w:tabs>
        <w:ind w:left="1440" w:hanging="360"/>
      </w:pPr>
      <w:rPr>
        <w:rFonts w:ascii="Wingdings" w:hAnsi="Wingdings" w:hint="default"/>
      </w:rPr>
    </w:lvl>
    <w:lvl w:ilvl="2" w:tplc="923227FE" w:tentative="1">
      <w:start w:val="1"/>
      <w:numFmt w:val="bullet"/>
      <w:lvlText w:val=""/>
      <w:lvlJc w:val="left"/>
      <w:pPr>
        <w:tabs>
          <w:tab w:val="num" w:pos="2160"/>
        </w:tabs>
        <w:ind w:left="2160" w:hanging="360"/>
      </w:pPr>
      <w:rPr>
        <w:rFonts w:ascii="Wingdings" w:hAnsi="Wingdings" w:hint="default"/>
      </w:rPr>
    </w:lvl>
    <w:lvl w:ilvl="3" w:tplc="A7ACF40C" w:tentative="1">
      <w:start w:val="1"/>
      <w:numFmt w:val="bullet"/>
      <w:lvlText w:val=""/>
      <w:lvlJc w:val="left"/>
      <w:pPr>
        <w:tabs>
          <w:tab w:val="num" w:pos="2880"/>
        </w:tabs>
        <w:ind w:left="2880" w:hanging="360"/>
      </w:pPr>
      <w:rPr>
        <w:rFonts w:ascii="Wingdings" w:hAnsi="Wingdings" w:hint="default"/>
      </w:rPr>
    </w:lvl>
    <w:lvl w:ilvl="4" w:tplc="0E0E75C6" w:tentative="1">
      <w:start w:val="1"/>
      <w:numFmt w:val="bullet"/>
      <w:lvlText w:val=""/>
      <w:lvlJc w:val="left"/>
      <w:pPr>
        <w:tabs>
          <w:tab w:val="num" w:pos="3600"/>
        </w:tabs>
        <w:ind w:left="3600" w:hanging="360"/>
      </w:pPr>
      <w:rPr>
        <w:rFonts w:ascii="Wingdings" w:hAnsi="Wingdings" w:hint="default"/>
      </w:rPr>
    </w:lvl>
    <w:lvl w:ilvl="5" w:tplc="CFB83F70" w:tentative="1">
      <w:start w:val="1"/>
      <w:numFmt w:val="bullet"/>
      <w:lvlText w:val=""/>
      <w:lvlJc w:val="left"/>
      <w:pPr>
        <w:tabs>
          <w:tab w:val="num" w:pos="4320"/>
        </w:tabs>
        <w:ind w:left="4320" w:hanging="360"/>
      </w:pPr>
      <w:rPr>
        <w:rFonts w:ascii="Wingdings" w:hAnsi="Wingdings" w:hint="default"/>
      </w:rPr>
    </w:lvl>
    <w:lvl w:ilvl="6" w:tplc="15663958" w:tentative="1">
      <w:start w:val="1"/>
      <w:numFmt w:val="bullet"/>
      <w:lvlText w:val=""/>
      <w:lvlJc w:val="left"/>
      <w:pPr>
        <w:tabs>
          <w:tab w:val="num" w:pos="5040"/>
        </w:tabs>
        <w:ind w:left="5040" w:hanging="360"/>
      </w:pPr>
      <w:rPr>
        <w:rFonts w:ascii="Wingdings" w:hAnsi="Wingdings" w:hint="default"/>
      </w:rPr>
    </w:lvl>
    <w:lvl w:ilvl="7" w:tplc="41221D24" w:tentative="1">
      <w:start w:val="1"/>
      <w:numFmt w:val="bullet"/>
      <w:lvlText w:val=""/>
      <w:lvlJc w:val="left"/>
      <w:pPr>
        <w:tabs>
          <w:tab w:val="num" w:pos="5760"/>
        </w:tabs>
        <w:ind w:left="5760" w:hanging="360"/>
      </w:pPr>
      <w:rPr>
        <w:rFonts w:ascii="Wingdings" w:hAnsi="Wingdings" w:hint="default"/>
      </w:rPr>
    </w:lvl>
    <w:lvl w:ilvl="8" w:tplc="4FFA89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507D0C"/>
    <w:multiLevelType w:val="hybridMultilevel"/>
    <w:tmpl w:val="F6A264B6"/>
    <w:lvl w:ilvl="0" w:tplc="9132CB46">
      <w:start w:val="1"/>
      <w:numFmt w:val="bullet"/>
      <w:lvlText w:val=""/>
      <w:lvlJc w:val="left"/>
      <w:pPr>
        <w:ind w:left="720" w:hanging="360"/>
      </w:pPr>
      <w:rPr>
        <w:rFonts w:ascii="Symbol" w:hAnsi="Symbol" w:hint="default"/>
      </w:rPr>
    </w:lvl>
    <w:lvl w:ilvl="1" w:tplc="F302420E" w:tentative="1">
      <w:start w:val="1"/>
      <w:numFmt w:val="bullet"/>
      <w:lvlText w:val="o"/>
      <w:lvlJc w:val="left"/>
      <w:pPr>
        <w:ind w:left="1440" w:hanging="360"/>
      </w:pPr>
      <w:rPr>
        <w:rFonts w:ascii="Courier New" w:hAnsi="Courier New" w:cs="Courier New" w:hint="default"/>
      </w:rPr>
    </w:lvl>
    <w:lvl w:ilvl="2" w:tplc="8F66D730" w:tentative="1">
      <w:start w:val="1"/>
      <w:numFmt w:val="bullet"/>
      <w:lvlText w:val=""/>
      <w:lvlJc w:val="left"/>
      <w:pPr>
        <w:ind w:left="2160" w:hanging="360"/>
      </w:pPr>
      <w:rPr>
        <w:rFonts w:ascii="Wingdings" w:hAnsi="Wingdings" w:hint="default"/>
      </w:rPr>
    </w:lvl>
    <w:lvl w:ilvl="3" w:tplc="E7CE90CC" w:tentative="1">
      <w:start w:val="1"/>
      <w:numFmt w:val="bullet"/>
      <w:lvlText w:val=""/>
      <w:lvlJc w:val="left"/>
      <w:pPr>
        <w:ind w:left="2880" w:hanging="360"/>
      </w:pPr>
      <w:rPr>
        <w:rFonts w:ascii="Symbol" w:hAnsi="Symbol" w:hint="default"/>
      </w:rPr>
    </w:lvl>
    <w:lvl w:ilvl="4" w:tplc="78583B16" w:tentative="1">
      <w:start w:val="1"/>
      <w:numFmt w:val="bullet"/>
      <w:lvlText w:val="o"/>
      <w:lvlJc w:val="left"/>
      <w:pPr>
        <w:ind w:left="3600" w:hanging="360"/>
      </w:pPr>
      <w:rPr>
        <w:rFonts w:ascii="Courier New" w:hAnsi="Courier New" w:cs="Courier New" w:hint="default"/>
      </w:rPr>
    </w:lvl>
    <w:lvl w:ilvl="5" w:tplc="46DA785A" w:tentative="1">
      <w:start w:val="1"/>
      <w:numFmt w:val="bullet"/>
      <w:lvlText w:val=""/>
      <w:lvlJc w:val="left"/>
      <w:pPr>
        <w:ind w:left="4320" w:hanging="360"/>
      </w:pPr>
      <w:rPr>
        <w:rFonts w:ascii="Wingdings" w:hAnsi="Wingdings" w:hint="default"/>
      </w:rPr>
    </w:lvl>
    <w:lvl w:ilvl="6" w:tplc="B928E832" w:tentative="1">
      <w:start w:val="1"/>
      <w:numFmt w:val="bullet"/>
      <w:lvlText w:val=""/>
      <w:lvlJc w:val="left"/>
      <w:pPr>
        <w:ind w:left="5040" w:hanging="360"/>
      </w:pPr>
      <w:rPr>
        <w:rFonts w:ascii="Symbol" w:hAnsi="Symbol" w:hint="default"/>
      </w:rPr>
    </w:lvl>
    <w:lvl w:ilvl="7" w:tplc="511AD1D4" w:tentative="1">
      <w:start w:val="1"/>
      <w:numFmt w:val="bullet"/>
      <w:lvlText w:val="o"/>
      <w:lvlJc w:val="left"/>
      <w:pPr>
        <w:ind w:left="5760" w:hanging="360"/>
      </w:pPr>
      <w:rPr>
        <w:rFonts w:ascii="Courier New" w:hAnsi="Courier New" w:cs="Courier New" w:hint="default"/>
      </w:rPr>
    </w:lvl>
    <w:lvl w:ilvl="8" w:tplc="2BBE61BA" w:tentative="1">
      <w:start w:val="1"/>
      <w:numFmt w:val="bullet"/>
      <w:lvlText w:val=""/>
      <w:lvlJc w:val="left"/>
      <w:pPr>
        <w:ind w:left="6480" w:hanging="360"/>
      </w:pPr>
      <w:rPr>
        <w:rFonts w:ascii="Wingdings" w:hAnsi="Wingdings" w:hint="default"/>
      </w:rPr>
    </w:lvl>
  </w:abstractNum>
  <w:abstractNum w:abstractNumId="11" w15:restartNumberingAfterBreak="0">
    <w:nsid w:val="10A709E6"/>
    <w:multiLevelType w:val="hybridMultilevel"/>
    <w:tmpl w:val="CE5085FC"/>
    <w:lvl w:ilvl="0" w:tplc="111CBF42">
      <w:start w:val="1"/>
      <w:numFmt w:val="bullet"/>
      <w:lvlText w:val=""/>
      <w:lvlJc w:val="left"/>
      <w:pPr>
        <w:tabs>
          <w:tab w:val="num" w:pos="720"/>
        </w:tabs>
        <w:ind w:left="720" w:hanging="360"/>
      </w:pPr>
      <w:rPr>
        <w:rFonts w:ascii="Wingdings" w:hAnsi="Wingdings" w:hint="default"/>
      </w:rPr>
    </w:lvl>
    <w:lvl w:ilvl="1" w:tplc="CD90A768">
      <w:start w:val="1"/>
      <w:numFmt w:val="bullet"/>
      <w:lvlText w:val=""/>
      <w:lvlJc w:val="left"/>
      <w:pPr>
        <w:tabs>
          <w:tab w:val="num" w:pos="1440"/>
        </w:tabs>
        <w:ind w:left="1440" w:hanging="360"/>
      </w:pPr>
      <w:rPr>
        <w:rFonts w:ascii="Wingdings" w:hAnsi="Wingdings" w:hint="default"/>
      </w:rPr>
    </w:lvl>
    <w:lvl w:ilvl="2" w:tplc="B31488AA" w:tentative="1">
      <w:start w:val="1"/>
      <w:numFmt w:val="bullet"/>
      <w:lvlText w:val=""/>
      <w:lvlJc w:val="left"/>
      <w:pPr>
        <w:tabs>
          <w:tab w:val="num" w:pos="2160"/>
        </w:tabs>
        <w:ind w:left="2160" w:hanging="360"/>
      </w:pPr>
      <w:rPr>
        <w:rFonts w:ascii="Wingdings" w:hAnsi="Wingdings" w:hint="default"/>
      </w:rPr>
    </w:lvl>
    <w:lvl w:ilvl="3" w:tplc="89343884" w:tentative="1">
      <w:start w:val="1"/>
      <w:numFmt w:val="bullet"/>
      <w:lvlText w:val=""/>
      <w:lvlJc w:val="left"/>
      <w:pPr>
        <w:tabs>
          <w:tab w:val="num" w:pos="2880"/>
        </w:tabs>
        <w:ind w:left="2880" w:hanging="360"/>
      </w:pPr>
      <w:rPr>
        <w:rFonts w:ascii="Wingdings" w:hAnsi="Wingdings" w:hint="default"/>
      </w:rPr>
    </w:lvl>
    <w:lvl w:ilvl="4" w:tplc="76644B80" w:tentative="1">
      <w:start w:val="1"/>
      <w:numFmt w:val="bullet"/>
      <w:lvlText w:val=""/>
      <w:lvlJc w:val="left"/>
      <w:pPr>
        <w:tabs>
          <w:tab w:val="num" w:pos="3600"/>
        </w:tabs>
        <w:ind w:left="3600" w:hanging="360"/>
      </w:pPr>
      <w:rPr>
        <w:rFonts w:ascii="Wingdings" w:hAnsi="Wingdings" w:hint="default"/>
      </w:rPr>
    </w:lvl>
    <w:lvl w:ilvl="5" w:tplc="049ACBDE" w:tentative="1">
      <w:start w:val="1"/>
      <w:numFmt w:val="bullet"/>
      <w:lvlText w:val=""/>
      <w:lvlJc w:val="left"/>
      <w:pPr>
        <w:tabs>
          <w:tab w:val="num" w:pos="4320"/>
        </w:tabs>
        <w:ind w:left="4320" w:hanging="360"/>
      </w:pPr>
      <w:rPr>
        <w:rFonts w:ascii="Wingdings" w:hAnsi="Wingdings" w:hint="default"/>
      </w:rPr>
    </w:lvl>
    <w:lvl w:ilvl="6" w:tplc="8416E1DC" w:tentative="1">
      <w:start w:val="1"/>
      <w:numFmt w:val="bullet"/>
      <w:lvlText w:val=""/>
      <w:lvlJc w:val="left"/>
      <w:pPr>
        <w:tabs>
          <w:tab w:val="num" w:pos="5040"/>
        </w:tabs>
        <w:ind w:left="5040" w:hanging="360"/>
      </w:pPr>
      <w:rPr>
        <w:rFonts w:ascii="Wingdings" w:hAnsi="Wingdings" w:hint="default"/>
      </w:rPr>
    </w:lvl>
    <w:lvl w:ilvl="7" w:tplc="75B8A8F2" w:tentative="1">
      <w:start w:val="1"/>
      <w:numFmt w:val="bullet"/>
      <w:lvlText w:val=""/>
      <w:lvlJc w:val="left"/>
      <w:pPr>
        <w:tabs>
          <w:tab w:val="num" w:pos="5760"/>
        </w:tabs>
        <w:ind w:left="5760" w:hanging="360"/>
      </w:pPr>
      <w:rPr>
        <w:rFonts w:ascii="Wingdings" w:hAnsi="Wingdings" w:hint="default"/>
      </w:rPr>
    </w:lvl>
    <w:lvl w:ilvl="8" w:tplc="D8CA57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8B231B"/>
    <w:multiLevelType w:val="hybridMultilevel"/>
    <w:tmpl w:val="FFFFFFFF"/>
    <w:lvl w:ilvl="0" w:tplc="15002514">
      <w:start w:val="1"/>
      <w:numFmt w:val="bullet"/>
      <w:lvlText w:val=""/>
      <w:lvlJc w:val="left"/>
      <w:pPr>
        <w:ind w:left="720" w:hanging="360"/>
      </w:pPr>
      <w:rPr>
        <w:rFonts w:ascii="Symbol" w:hAnsi="Symbol" w:hint="default"/>
      </w:rPr>
    </w:lvl>
    <w:lvl w:ilvl="1" w:tplc="B9022D86">
      <w:start w:val="1"/>
      <w:numFmt w:val="bullet"/>
      <w:lvlText w:val="o"/>
      <w:lvlJc w:val="left"/>
      <w:pPr>
        <w:ind w:left="1440" w:hanging="360"/>
      </w:pPr>
      <w:rPr>
        <w:rFonts w:ascii="Courier New" w:hAnsi="Courier New" w:hint="default"/>
      </w:rPr>
    </w:lvl>
    <w:lvl w:ilvl="2" w:tplc="E62A6F42">
      <w:start w:val="1"/>
      <w:numFmt w:val="bullet"/>
      <w:lvlText w:val=""/>
      <w:lvlJc w:val="left"/>
      <w:pPr>
        <w:ind w:left="2160" w:hanging="360"/>
      </w:pPr>
      <w:rPr>
        <w:rFonts w:ascii="Wingdings" w:hAnsi="Wingdings" w:hint="default"/>
      </w:rPr>
    </w:lvl>
    <w:lvl w:ilvl="3" w:tplc="9724C898">
      <w:start w:val="1"/>
      <w:numFmt w:val="bullet"/>
      <w:lvlText w:val=""/>
      <w:lvlJc w:val="left"/>
      <w:pPr>
        <w:ind w:left="2880" w:hanging="360"/>
      </w:pPr>
      <w:rPr>
        <w:rFonts w:ascii="Symbol" w:hAnsi="Symbol" w:hint="default"/>
      </w:rPr>
    </w:lvl>
    <w:lvl w:ilvl="4" w:tplc="18666710">
      <w:start w:val="1"/>
      <w:numFmt w:val="bullet"/>
      <w:lvlText w:val="o"/>
      <w:lvlJc w:val="left"/>
      <w:pPr>
        <w:ind w:left="3600" w:hanging="360"/>
      </w:pPr>
      <w:rPr>
        <w:rFonts w:ascii="Courier New" w:hAnsi="Courier New" w:hint="default"/>
      </w:rPr>
    </w:lvl>
    <w:lvl w:ilvl="5" w:tplc="49F83F6C">
      <w:start w:val="1"/>
      <w:numFmt w:val="bullet"/>
      <w:lvlText w:val=""/>
      <w:lvlJc w:val="left"/>
      <w:pPr>
        <w:ind w:left="4320" w:hanging="360"/>
      </w:pPr>
      <w:rPr>
        <w:rFonts w:ascii="Wingdings" w:hAnsi="Wingdings" w:hint="default"/>
      </w:rPr>
    </w:lvl>
    <w:lvl w:ilvl="6" w:tplc="645CA6F2">
      <w:start w:val="1"/>
      <w:numFmt w:val="bullet"/>
      <w:lvlText w:val=""/>
      <w:lvlJc w:val="left"/>
      <w:pPr>
        <w:ind w:left="5040" w:hanging="360"/>
      </w:pPr>
      <w:rPr>
        <w:rFonts w:ascii="Symbol" w:hAnsi="Symbol" w:hint="default"/>
      </w:rPr>
    </w:lvl>
    <w:lvl w:ilvl="7" w:tplc="2EE43CF4">
      <w:start w:val="1"/>
      <w:numFmt w:val="bullet"/>
      <w:lvlText w:val="o"/>
      <w:lvlJc w:val="left"/>
      <w:pPr>
        <w:ind w:left="5760" w:hanging="360"/>
      </w:pPr>
      <w:rPr>
        <w:rFonts w:ascii="Courier New" w:hAnsi="Courier New" w:hint="default"/>
      </w:rPr>
    </w:lvl>
    <w:lvl w:ilvl="8" w:tplc="ADAE58FC">
      <w:start w:val="1"/>
      <w:numFmt w:val="bullet"/>
      <w:lvlText w:val=""/>
      <w:lvlJc w:val="left"/>
      <w:pPr>
        <w:ind w:left="6480" w:hanging="360"/>
      </w:pPr>
      <w:rPr>
        <w:rFonts w:ascii="Wingdings" w:hAnsi="Wingdings" w:hint="default"/>
      </w:rPr>
    </w:lvl>
  </w:abstractNum>
  <w:abstractNum w:abstractNumId="13" w15:restartNumberingAfterBreak="0">
    <w:nsid w:val="146A5377"/>
    <w:multiLevelType w:val="hybridMultilevel"/>
    <w:tmpl w:val="AA761922"/>
    <w:lvl w:ilvl="0" w:tplc="5FCA4928">
      <w:start w:val="1"/>
      <w:numFmt w:val="bullet"/>
      <w:lvlText w:val=""/>
      <w:lvlJc w:val="left"/>
      <w:pPr>
        <w:tabs>
          <w:tab w:val="num" w:pos="720"/>
        </w:tabs>
        <w:ind w:left="720" w:hanging="360"/>
      </w:pPr>
      <w:rPr>
        <w:rFonts w:ascii="Wingdings" w:hAnsi="Wingdings" w:hint="default"/>
      </w:rPr>
    </w:lvl>
    <w:lvl w:ilvl="1" w:tplc="E3A61214" w:tentative="1">
      <w:start w:val="1"/>
      <w:numFmt w:val="bullet"/>
      <w:lvlText w:val=""/>
      <w:lvlJc w:val="left"/>
      <w:pPr>
        <w:tabs>
          <w:tab w:val="num" w:pos="1440"/>
        </w:tabs>
        <w:ind w:left="1440" w:hanging="360"/>
      </w:pPr>
      <w:rPr>
        <w:rFonts w:ascii="Wingdings" w:hAnsi="Wingdings" w:hint="default"/>
      </w:rPr>
    </w:lvl>
    <w:lvl w:ilvl="2" w:tplc="E3D64A14" w:tentative="1">
      <w:start w:val="1"/>
      <w:numFmt w:val="bullet"/>
      <w:lvlText w:val=""/>
      <w:lvlJc w:val="left"/>
      <w:pPr>
        <w:tabs>
          <w:tab w:val="num" w:pos="2160"/>
        </w:tabs>
        <w:ind w:left="2160" w:hanging="360"/>
      </w:pPr>
      <w:rPr>
        <w:rFonts w:ascii="Wingdings" w:hAnsi="Wingdings" w:hint="default"/>
      </w:rPr>
    </w:lvl>
    <w:lvl w:ilvl="3" w:tplc="4060091C" w:tentative="1">
      <w:start w:val="1"/>
      <w:numFmt w:val="bullet"/>
      <w:lvlText w:val=""/>
      <w:lvlJc w:val="left"/>
      <w:pPr>
        <w:tabs>
          <w:tab w:val="num" w:pos="2880"/>
        </w:tabs>
        <w:ind w:left="2880" w:hanging="360"/>
      </w:pPr>
      <w:rPr>
        <w:rFonts w:ascii="Wingdings" w:hAnsi="Wingdings" w:hint="default"/>
      </w:rPr>
    </w:lvl>
    <w:lvl w:ilvl="4" w:tplc="C2CCAD56" w:tentative="1">
      <w:start w:val="1"/>
      <w:numFmt w:val="bullet"/>
      <w:lvlText w:val=""/>
      <w:lvlJc w:val="left"/>
      <w:pPr>
        <w:tabs>
          <w:tab w:val="num" w:pos="3600"/>
        </w:tabs>
        <w:ind w:left="3600" w:hanging="360"/>
      </w:pPr>
      <w:rPr>
        <w:rFonts w:ascii="Wingdings" w:hAnsi="Wingdings" w:hint="default"/>
      </w:rPr>
    </w:lvl>
    <w:lvl w:ilvl="5" w:tplc="58D20CCA" w:tentative="1">
      <w:start w:val="1"/>
      <w:numFmt w:val="bullet"/>
      <w:lvlText w:val=""/>
      <w:lvlJc w:val="left"/>
      <w:pPr>
        <w:tabs>
          <w:tab w:val="num" w:pos="4320"/>
        </w:tabs>
        <w:ind w:left="4320" w:hanging="360"/>
      </w:pPr>
      <w:rPr>
        <w:rFonts w:ascii="Wingdings" w:hAnsi="Wingdings" w:hint="default"/>
      </w:rPr>
    </w:lvl>
    <w:lvl w:ilvl="6" w:tplc="F85EF446" w:tentative="1">
      <w:start w:val="1"/>
      <w:numFmt w:val="bullet"/>
      <w:lvlText w:val=""/>
      <w:lvlJc w:val="left"/>
      <w:pPr>
        <w:tabs>
          <w:tab w:val="num" w:pos="5040"/>
        </w:tabs>
        <w:ind w:left="5040" w:hanging="360"/>
      </w:pPr>
      <w:rPr>
        <w:rFonts w:ascii="Wingdings" w:hAnsi="Wingdings" w:hint="default"/>
      </w:rPr>
    </w:lvl>
    <w:lvl w:ilvl="7" w:tplc="C398143E" w:tentative="1">
      <w:start w:val="1"/>
      <w:numFmt w:val="bullet"/>
      <w:lvlText w:val=""/>
      <w:lvlJc w:val="left"/>
      <w:pPr>
        <w:tabs>
          <w:tab w:val="num" w:pos="5760"/>
        </w:tabs>
        <w:ind w:left="5760" w:hanging="360"/>
      </w:pPr>
      <w:rPr>
        <w:rFonts w:ascii="Wingdings" w:hAnsi="Wingdings" w:hint="default"/>
      </w:rPr>
    </w:lvl>
    <w:lvl w:ilvl="8" w:tplc="FAEE16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43771"/>
    <w:multiLevelType w:val="hybridMultilevel"/>
    <w:tmpl w:val="69381D2E"/>
    <w:lvl w:ilvl="0" w:tplc="7C5666A0">
      <w:start w:val="1"/>
      <w:numFmt w:val="bullet"/>
      <w:lvlText w:val=""/>
      <w:lvlJc w:val="left"/>
      <w:pPr>
        <w:tabs>
          <w:tab w:val="num" w:pos="720"/>
        </w:tabs>
        <w:ind w:left="720" w:hanging="360"/>
      </w:pPr>
      <w:rPr>
        <w:rFonts w:ascii="Wingdings" w:hAnsi="Wingdings" w:hint="default"/>
      </w:rPr>
    </w:lvl>
    <w:lvl w:ilvl="1" w:tplc="6BDA2D34">
      <w:start w:val="1"/>
      <w:numFmt w:val="bullet"/>
      <w:lvlText w:val=""/>
      <w:lvlJc w:val="left"/>
      <w:pPr>
        <w:tabs>
          <w:tab w:val="num" w:pos="1440"/>
        </w:tabs>
        <w:ind w:left="1440" w:hanging="360"/>
      </w:pPr>
      <w:rPr>
        <w:rFonts w:ascii="Wingdings" w:hAnsi="Wingdings" w:hint="default"/>
      </w:rPr>
    </w:lvl>
    <w:lvl w:ilvl="2" w:tplc="6B46D3B0" w:tentative="1">
      <w:start w:val="1"/>
      <w:numFmt w:val="bullet"/>
      <w:lvlText w:val=""/>
      <w:lvlJc w:val="left"/>
      <w:pPr>
        <w:tabs>
          <w:tab w:val="num" w:pos="2160"/>
        </w:tabs>
        <w:ind w:left="2160" w:hanging="360"/>
      </w:pPr>
      <w:rPr>
        <w:rFonts w:ascii="Wingdings" w:hAnsi="Wingdings" w:hint="default"/>
      </w:rPr>
    </w:lvl>
    <w:lvl w:ilvl="3" w:tplc="7FD0D5F6" w:tentative="1">
      <w:start w:val="1"/>
      <w:numFmt w:val="bullet"/>
      <w:lvlText w:val=""/>
      <w:lvlJc w:val="left"/>
      <w:pPr>
        <w:tabs>
          <w:tab w:val="num" w:pos="2880"/>
        </w:tabs>
        <w:ind w:left="2880" w:hanging="360"/>
      </w:pPr>
      <w:rPr>
        <w:rFonts w:ascii="Wingdings" w:hAnsi="Wingdings" w:hint="default"/>
      </w:rPr>
    </w:lvl>
    <w:lvl w:ilvl="4" w:tplc="C71643C6" w:tentative="1">
      <w:start w:val="1"/>
      <w:numFmt w:val="bullet"/>
      <w:lvlText w:val=""/>
      <w:lvlJc w:val="left"/>
      <w:pPr>
        <w:tabs>
          <w:tab w:val="num" w:pos="3600"/>
        </w:tabs>
        <w:ind w:left="3600" w:hanging="360"/>
      </w:pPr>
      <w:rPr>
        <w:rFonts w:ascii="Wingdings" w:hAnsi="Wingdings" w:hint="default"/>
      </w:rPr>
    </w:lvl>
    <w:lvl w:ilvl="5" w:tplc="6C4ACB54" w:tentative="1">
      <w:start w:val="1"/>
      <w:numFmt w:val="bullet"/>
      <w:lvlText w:val=""/>
      <w:lvlJc w:val="left"/>
      <w:pPr>
        <w:tabs>
          <w:tab w:val="num" w:pos="4320"/>
        </w:tabs>
        <w:ind w:left="4320" w:hanging="360"/>
      </w:pPr>
      <w:rPr>
        <w:rFonts w:ascii="Wingdings" w:hAnsi="Wingdings" w:hint="default"/>
      </w:rPr>
    </w:lvl>
    <w:lvl w:ilvl="6" w:tplc="FDECFA96" w:tentative="1">
      <w:start w:val="1"/>
      <w:numFmt w:val="bullet"/>
      <w:lvlText w:val=""/>
      <w:lvlJc w:val="left"/>
      <w:pPr>
        <w:tabs>
          <w:tab w:val="num" w:pos="5040"/>
        </w:tabs>
        <w:ind w:left="5040" w:hanging="360"/>
      </w:pPr>
      <w:rPr>
        <w:rFonts w:ascii="Wingdings" w:hAnsi="Wingdings" w:hint="default"/>
      </w:rPr>
    </w:lvl>
    <w:lvl w:ilvl="7" w:tplc="D8A01FB0" w:tentative="1">
      <w:start w:val="1"/>
      <w:numFmt w:val="bullet"/>
      <w:lvlText w:val=""/>
      <w:lvlJc w:val="left"/>
      <w:pPr>
        <w:tabs>
          <w:tab w:val="num" w:pos="5760"/>
        </w:tabs>
        <w:ind w:left="5760" w:hanging="360"/>
      </w:pPr>
      <w:rPr>
        <w:rFonts w:ascii="Wingdings" w:hAnsi="Wingdings" w:hint="default"/>
      </w:rPr>
    </w:lvl>
    <w:lvl w:ilvl="8" w:tplc="ED64BB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0A643F"/>
    <w:multiLevelType w:val="hybridMultilevel"/>
    <w:tmpl w:val="4672D718"/>
    <w:lvl w:ilvl="0" w:tplc="8A1005EE">
      <w:start w:val="1"/>
      <w:numFmt w:val="bullet"/>
      <w:lvlText w:val="•"/>
      <w:lvlJc w:val="left"/>
      <w:pPr>
        <w:tabs>
          <w:tab w:val="num" w:pos="720"/>
        </w:tabs>
        <w:ind w:left="720" w:hanging="360"/>
      </w:pPr>
      <w:rPr>
        <w:rFonts w:ascii="Arial" w:hAnsi="Arial" w:hint="default"/>
      </w:rPr>
    </w:lvl>
    <w:lvl w:ilvl="1" w:tplc="E2F8027C" w:tentative="1">
      <w:start w:val="1"/>
      <w:numFmt w:val="bullet"/>
      <w:lvlText w:val="•"/>
      <w:lvlJc w:val="left"/>
      <w:pPr>
        <w:tabs>
          <w:tab w:val="num" w:pos="1440"/>
        </w:tabs>
        <w:ind w:left="1440" w:hanging="360"/>
      </w:pPr>
      <w:rPr>
        <w:rFonts w:ascii="Arial" w:hAnsi="Arial" w:hint="default"/>
      </w:rPr>
    </w:lvl>
    <w:lvl w:ilvl="2" w:tplc="A9C8EB3C" w:tentative="1">
      <w:start w:val="1"/>
      <w:numFmt w:val="bullet"/>
      <w:lvlText w:val="•"/>
      <w:lvlJc w:val="left"/>
      <w:pPr>
        <w:tabs>
          <w:tab w:val="num" w:pos="2160"/>
        </w:tabs>
        <w:ind w:left="2160" w:hanging="360"/>
      </w:pPr>
      <w:rPr>
        <w:rFonts w:ascii="Arial" w:hAnsi="Arial" w:hint="default"/>
      </w:rPr>
    </w:lvl>
    <w:lvl w:ilvl="3" w:tplc="DC007BC0" w:tentative="1">
      <w:start w:val="1"/>
      <w:numFmt w:val="bullet"/>
      <w:lvlText w:val="•"/>
      <w:lvlJc w:val="left"/>
      <w:pPr>
        <w:tabs>
          <w:tab w:val="num" w:pos="2880"/>
        </w:tabs>
        <w:ind w:left="2880" w:hanging="360"/>
      </w:pPr>
      <w:rPr>
        <w:rFonts w:ascii="Arial" w:hAnsi="Arial" w:hint="default"/>
      </w:rPr>
    </w:lvl>
    <w:lvl w:ilvl="4" w:tplc="D79C3CA0" w:tentative="1">
      <w:start w:val="1"/>
      <w:numFmt w:val="bullet"/>
      <w:lvlText w:val="•"/>
      <w:lvlJc w:val="left"/>
      <w:pPr>
        <w:tabs>
          <w:tab w:val="num" w:pos="3600"/>
        </w:tabs>
        <w:ind w:left="3600" w:hanging="360"/>
      </w:pPr>
      <w:rPr>
        <w:rFonts w:ascii="Arial" w:hAnsi="Arial" w:hint="default"/>
      </w:rPr>
    </w:lvl>
    <w:lvl w:ilvl="5" w:tplc="36B2986C" w:tentative="1">
      <w:start w:val="1"/>
      <w:numFmt w:val="bullet"/>
      <w:lvlText w:val="•"/>
      <w:lvlJc w:val="left"/>
      <w:pPr>
        <w:tabs>
          <w:tab w:val="num" w:pos="4320"/>
        </w:tabs>
        <w:ind w:left="4320" w:hanging="360"/>
      </w:pPr>
      <w:rPr>
        <w:rFonts w:ascii="Arial" w:hAnsi="Arial" w:hint="default"/>
      </w:rPr>
    </w:lvl>
    <w:lvl w:ilvl="6" w:tplc="D576C56C" w:tentative="1">
      <w:start w:val="1"/>
      <w:numFmt w:val="bullet"/>
      <w:lvlText w:val="•"/>
      <w:lvlJc w:val="left"/>
      <w:pPr>
        <w:tabs>
          <w:tab w:val="num" w:pos="5040"/>
        </w:tabs>
        <w:ind w:left="5040" w:hanging="360"/>
      </w:pPr>
      <w:rPr>
        <w:rFonts w:ascii="Arial" w:hAnsi="Arial" w:hint="default"/>
      </w:rPr>
    </w:lvl>
    <w:lvl w:ilvl="7" w:tplc="3EDCD7FC" w:tentative="1">
      <w:start w:val="1"/>
      <w:numFmt w:val="bullet"/>
      <w:lvlText w:val="•"/>
      <w:lvlJc w:val="left"/>
      <w:pPr>
        <w:tabs>
          <w:tab w:val="num" w:pos="5760"/>
        </w:tabs>
        <w:ind w:left="5760" w:hanging="360"/>
      </w:pPr>
      <w:rPr>
        <w:rFonts w:ascii="Arial" w:hAnsi="Arial" w:hint="default"/>
      </w:rPr>
    </w:lvl>
    <w:lvl w:ilvl="8" w:tplc="58E0E1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419196C"/>
    <w:multiLevelType w:val="hybridMultilevel"/>
    <w:tmpl w:val="F8F69A42"/>
    <w:lvl w:ilvl="0" w:tplc="7FB26050">
      <w:start w:val="1"/>
      <w:numFmt w:val="bullet"/>
      <w:lvlText w:val=""/>
      <w:lvlJc w:val="left"/>
      <w:pPr>
        <w:tabs>
          <w:tab w:val="num" w:pos="720"/>
        </w:tabs>
        <w:ind w:left="720" w:hanging="360"/>
      </w:pPr>
      <w:rPr>
        <w:rFonts w:ascii="Wingdings" w:hAnsi="Wingdings" w:hint="default"/>
      </w:rPr>
    </w:lvl>
    <w:lvl w:ilvl="1" w:tplc="63645180">
      <w:start w:val="1"/>
      <w:numFmt w:val="bullet"/>
      <w:lvlText w:val=""/>
      <w:lvlJc w:val="left"/>
      <w:pPr>
        <w:tabs>
          <w:tab w:val="num" w:pos="1440"/>
        </w:tabs>
        <w:ind w:left="1440" w:hanging="360"/>
      </w:pPr>
      <w:rPr>
        <w:rFonts w:ascii="Wingdings" w:hAnsi="Wingdings" w:hint="default"/>
      </w:rPr>
    </w:lvl>
    <w:lvl w:ilvl="2" w:tplc="2542CC5A" w:tentative="1">
      <w:start w:val="1"/>
      <w:numFmt w:val="bullet"/>
      <w:lvlText w:val=""/>
      <w:lvlJc w:val="left"/>
      <w:pPr>
        <w:tabs>
          <w:tab w:val="num" w:pos="2160"/>
        </w:tabs>
        <w:ind w:left="2160" w:hanging="360"/>
      </w:pPr>
      <w:rPr>
        <w:rFonts w:ascii="Wingdings" w:hAnsi="Wingdings" w:hint="default"/>
      </w:rPr>
    </w:lvl>
    <w:lvl w:ilvl="3" w:tplc="4698A318" w:tentative="1">
      <w:start w:val="1"/>
      <w:numFmt w:val="bullet"/>
      <w:lvlText w:val=""/>
      <w:lvlJc w:val="left"/>
      <w:pPr>
        <w:tabs>
          <w:tab w:val="num" w:pos="2880"/>
        </w:tabs>
        <w:ind w:left="2880" w:hanging="360"/>
      </w:pPr>
      <w:rPr>
        <w:rFonts w:ascii="Wingdings" w:hAnsi="Wingdings" w:hint="default"/>
      </w:rPr>
    </w:lvl>
    <w:lvl w:ilvl="4" w:tplc="57FA9EEC" w:tentative="1">
      <w:start w:val="1"/>
      <w:numFmt w:val="bullet"/>
      <w:lvlText w:val=""/>
      <w:lvlJc w:val="left"/>
      <w:pPr>
        <w:tabs>
          <w:tab w:val="num" w:pos="3600"/>
        </w:tabs>
        <w:ind w:left="3600" w:hanging="360"/>
      </w:pPr>
      <w:rPr>
        <w:rFonts w:ascii="Wingdings" w:hAnsi="Wingdings" w:hint="default"/>
      </w:rPr>
    </w:lvl>
    <w:lvl w:ilvl="5" w:tplc="43CAE6D6" w:tentative="1">
      <w:start w:val="1"/>
      <w:numFmt w:val="bullet"/>
      <w:lvlText w:val=""/>
      <w:lvlJc w:val="left"/>
      <w:pPr>
        <w:tabs>
          <w:tab w:val="num" w:pos="4320"/>
        </w:tabs>
        <w:ind w:left="4320" w:hanging="360"/>
      </w:pPr>
      <w:rPr>
        <w:rFonts w:ascii="Wingdings" w:hAnsi="Wingdings" w:hint="default"/>
      </w:rPr>
    </w:lvl>
    <w:lvl w:ilvl="6" w:tplc="498E2C46" w:tentative="1">
      <w:start w:val="1"/>
      <w:numFmt w:val="bullet"/>
      <w:lvlText w:val=""/>
      <w:lvlJc w:val="left"/>
      <w:pPr>
        <w:tabs>
          <w:tab w:val="num" w:pos="5040"/>
        </w:tabs>
        <w:ind w:left="5040" w:hanging="360"/>
      </w:pPr>
      <w:rPr>
        <w:rFonts w:ascii="Wingdings" w:hAnsi="Wingdings" w:hint="default"/>
      </w:rPr>
    </w:lvl>
    <w:lvl w:ilvl="7" w:tplc="C948569C" w:tentative="1">
      <w:start w:val="1"/>
      <w:numFmt w:val="bullet"/>
      <w:lvlText w:val=""/>
      <w:lvlJc w:val="left"/>
      <w:pPr>
        <w:tabs>
          <w:tab w:val="num" w:pos="5760"/>
        </w:tabs>
        <w:ind w:left="5760" w:hanging="360"/>
      </w:pPr>
      <w:rPr>
        <w:rFonts w:ascii="Wingdings" w:hAnsi="Wingdings" w:hint="default"/>
      </w:rPr>
    </w:lvl>
    <w:lvl w:ilvl="8" w:tplc="239431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7379F7"/>
    <w:multiLevelType w:val="hybridMultilevel"/>
    <w:tmpl w:val="8C0E8AB8"/>
    <w:lvl w:ilvl="0" w:tplc="338C04EC">
      <w:start w:val="1"/>
      <w:numFmt w:val="bullet"/>
      <w:lvlText w:val=""/>
      <w:lvlJc w:val="left"/>
      <w:pPr>
        <w:tabs>
          <w:tab w:val="num" w:pos="720"/>
        </w:tabs>
        <w:ind w:left="720" w:hanging="360"/>
      </w:pPr>
      <w:rPr>
        <w:rFonts w:ascii="Wingdings" w:hAnsi="Wingdings" w:hint="default"/>
      </w:rPr>
    </w:lvl>
    <w:lvl w:ilvl="1" w:tplc="1F72D59C" w:tentative="1">
      <w:start w:val="1"/>
      <w:numFmt w:val="bullet"/>
      <w:lvlText w:val=""/>
      <w:lvlJc w:val="left"/>
      <w:pPr>
        <w:tabs>
          <w:tab w:val="num" w:pos="1440"/>
        </w:tabs>
        <w:ind w:left="1440" w:hanging="360"/>
      </w:pPr>
      <w:rPr>
        <w:rFonts w:ascii="Wingdings" w:hAnsi="Wingdings" w:hint="default"/>
      </w:rPr>
    </w:lvl>
    <w:lvl w:ilvl="2" w:tplc="824AF2B6" w:tentative="1">
      <w:start w:val="1"/>
      <w:numFmt w:val="bullet"/>
      <w:lvlText w:val=""/>
      <w:lvlJc w:val="left"/>
      <w:pPr>
        <w:tabs>
          <w:tab w:val="num" w:pos="2160"/>
        </w:tabs>
        <w:ind w:left="2160" w:hanging="360"/>
      </w:pPr>
      <w:rPr>
        <w:rFonts w:ascii="Wingdings" w:hAnsi="Wingdings" w:hint="default"/>
      </w:rPr>
    </w:lvl>
    <w:lvl w:ilvl="3" w:tplc="D30049C0" w:tentative="1">
      <w:start w:val="1"/>
      <w:numFmt w:val="bullet"/>
      <w:lvlText w:val=""/>
      <w:lvlJc w:val="left"/>
      <w:pPr>
        <w:tabs>
          <w:tab w:val="num" w:pos="2880"/>
        </w:tabs>
        <w:ind w:left="2880" w:hanging="360"/>
      </w:pPr>
      <w:rPr>
        <w:rFonts w:ascii="Wingdings" w:hAnsi="Wingdings" w:hint="default"/>
      </w:rPr>
    </w:lvl>
    <w:lvl w:ilvl="4" w:tplc="D04A22B8" w:tentative="1">
      <w:start w:val="1"/>
      <w:numFmt w:val="bullet"/>
      <w:lvlText w:val=""/>
      <w:lvlJc w:val="left"/>
      <w:pPr>
        <w:tabs>
          <w:tab w:val="num" w:pos="3600"/>
        </w:tabs>
        <w:ind w:left="3600" w:hanging="360"/>
      </w:pPr>
      <w:rPr>
        <w:rFonts w:ascii="Wingdings" w:hAnsi="Wingdings" w:hint="default"/>
      </w:rPr>
    </w:lvl>
    <w:lvl w:ilvl="5" w:tplc="3606164C" w:tentative="1">
      <w:start w:val="1"/>
      <w:numFmt w:val="bullet"/>
      <w:lvlText w:val=""/>
      <w:lvlJc w:val="left"/>
      <w:pPr>
        <w:tabs>
          <w:tab w:val="num" w:pos="4320"/>
        </w:tabs>
        <w:ind w:left="4320" w:hanging="360"/>
      </w:pPr>
      <w:rPr>
        <w:rFonts w:ascii="Wingdings" w:hAnsi="Wingdings" w:hint="default"/>
      </w:rPr>
    </w:lvl>
    <w:lvl w:ilvl="6" w:tplc="C0EEE694" w:tentative="1">
      <w:start w:val="1"/>
      <w:numFmt w:val="bullet"/>
      <w:lvlText w:val=""/>
      <w:lvlJc w:val="left"/>
      <w:pPr>
        <w:tabs>
          <w:tab w:val="num" w:pos="5040"/>
        </w:tabs>
        <w:ind w:left="5040" w:hanging="360"/>
      </w:pPr>
      <w:rPr>
        <w:rFonts w:ascii="Wingdings" w:hAnsi="Wingdings" w:hint="default"/>
      </w:rPr>
    </w:lvl>
    <w:lvl w:ilvl="7" w:tplc="567AF462" w:tentative="1">
      <w:start w:val="1"/>
      <w:numFmt w:val="bullet"/>
      <w:lvlText w:val=""/>
      <w:lvlJc w:val="left"/>
      <w:pPr>
        <w:tabs>
          <w:tab w:val="num" w:pos="5760"/>
        </w:tabs>
        <w:ind w:left="5760" w:hanging="360"/>
      </w:pPr>
      <w:rPr>
        <w:rFonts w:ascii="Wingdings" w:hAnsi="Wingdings" w:hint="default"/>
      </w:rPr>
    </w:lvl>
    <w:lvl w:ilvl="8" w:tplc="F2205B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1A588B"/>
    <w:multiLevelType w:val="hybridMultilevel"/>
    <w:tmpl w:val="10B667F4"/>
    <w:lvl w:ilvl="0" w:tplc="4C9EAC24">
      <w:start w:val="1"/>
      <w:numFmt w:val="bullet"/>
      <w:lvlText w:val=""/>
      <w:lvlJc w:val="left"/>
      <w:pPr>
        <w:tabs>
          <w:tab w:val="num" w:pos="720"/>
        </w:tabs>
        <w:ind w:left="720" w:hanging="360"/>
      </w:pPr>
      <w:rPr>
        <w:rFonts w:ascii="Wingdings" w:hAnsi="Wingdings" w:hint="default"/>
      </w:rPr>
    </w:lvl>
    <w:lvl w:ilvl="1" w:tplc="903E2AF0" w:tentative="1">
      <w:start w:val="1"/>
      <w:numFmt w:val="bullet"/>
      <w:lvlText w:val=""/>
      <w:lvlJc w:val="left"/>
      <w:pPr>
        <w:tabs>
          <w:tab w:val="num" w:pos="1440"/>
        </w:tabs>
        <w:ind w:left="1440" w:hanging="360"/>
      </w:pPr>
      <w:rPr>
        <w:rFonts w:ascii="Wingdings" w:hAnsi="Wingdings" w:hint="default"/>
      </w:rPr>
    </w:lvl>
    <w:lvl w:ilvl="2" w:tplc="86E6A498" w:tentative="1">
      <w:start w:val="1"/>
      <w:numFmt w:val="bullet"/>
      <w:lvlText w:val=""/>
      <w:lvlJc w:val="left"/>
      <w:pPr>
        <w:tabs>
          <w:tab w:val="num" w:pos="2160"/>
        </w:tabs>
        <w:ind w:left="2160" w:hanging="360"/>
      </w:pPr>
      <w:rPr>
        <w:rFonts w:ascii="Wingdings" w:hAnsi="Wingdings" w:hint="default"/>
      </w:rPr>
    </w:lvl>
    <w:lvl w:ilvl="3" w:tplc="057CADF8" w:tentative="1">
      <w:start w:val="1"/>
      <w:numFmt w:val="bullet"/>
      <w:lvlText w:val=""/>
      <w:lvlJc w:val="left"/>
      <w:pPr>
        <w:tabs>
          <w:tab w:val="num" w:pos="2880"/>
        </w:tabs>
        <w:ind w:left="2880" w:hanging="360"/>
      </w:pPr>
      <w:rPr>
        <w:rFonts w:ascii="Wingdings" w:hAnsi="Wingdings" w:hint="default"/>
      </w:rPr>
    </w:lvl>
    <w:lvl w:ilvl="4" w:tplc="B6D0FF84" w:tentative="1">
      <w:start w:val="1"/>
      <w:numFmt w:val="bullet"/>
      <w:lvlText w:val=""/>
      <w:lvlJc w:val="left"/>
      <w:pPr>
        <w:tabs>
          <w:tab w:val="num" w:pos="3600"/>
        </w:tabs>
        <w:ind w:left="3600" w:hanging="360"/>
      </w:pPr>
      <w:rPr>
        <w:rFonts w:ascii="Wingdings" w:hAnsi="Wingdings" w:hint="default"/>
      </w:rPr>
    </w:lvl>
    <w:lvl w:ilvl="5" w:tplc="17CE8546" w:tentative="1">
      <w:start w:val="1"/>
      <w:numFmt w:val="bullet"/>
      <w:lvlText w:val=""/>
      <w:lvlJc w:val="left"/>
      <w:pPr>
        <w:tabs>
          <w:tab w:val="num" w:pos="4320"/>
        </w:tabs>
        <w:ind w:left="4320" w:hanging="360"/>
      </w:pPr>
      <w:rPr>
        <w:rFonts w:ascii="Wingdings" w:hAnsi="Wingdings" w:hint="default"/>
      </w:rPr>
    </w:lvl>
    <w:lvl w:ilvl="6" w:tplc="47F84A14" w:tentative="1">
      <w:start w:val="1"/>
      <w:numFmt w:val="bullet"/>
      <w:lvlText w:val=""/>
      <w:lvlJc w:val="left"/>
      <w:pPr>
        <w:tabs>
          <w:tab w:val="num" w:pos="5040"/>
        </w:tabs>
        <w:ind w:left="5040" w:hanging="360"/>
      </w:pPr>
      <w:rPr>
        <w:rFonts w:ascii="Wingdings" w:hAnsi="Wingdings" w:hint="default"/>
      </w:rPr>
    </w:lvl>
    <w:lvl w:ilvl="7" w:tplc="5104991C" w:tentative="1">
      <w:start w:val="1"/>
      <w:numFmt w:val="bullet"/>
      <w:lvlText w:val=""/>
      <w:lvlJc w:val="left"/>
      <w:pPr>
        <w:tabs>
          <w:tab w:val="num" w:pos="5760"/>
        </w:tabs>
        <w:ind w:left="5760" w:hanging="360"/>
      </w:pPr>
      <w:rPr>
        <w:rFonts w:ascii="Wingdings" w:hAnsi="Wingdings" w:hint="default"/>
      </w:rPr>
    </w:lvl>
    <w:lvl w:ilvl="8" w:tplc="3998F6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4A145"/>
    <w:multiLevelType w:val="hybridMultilevel"/>
    <w:tmpl w:val="FFFFFFFF"/>
    <w:lvl w:ilvl="0" w:tplc="742094A4">
      <w:start w:val="1"/>
      <w:numFmt w:val="bullet"/>
      <w:lvlText w:val=""/>
      <w:lvlJc w:val="left"/>
      <w:pPr>
        <w:ind w:left="720" w:hanging="360"/>
      </w:pPr>
      <w:rPr>
        <w:rFonts w:ascii="Symbol" w:hAnsi="Symbol" w:hint="default"/>
      </w:rPr>
    </w:lvl>
    <w:lvl w:ilvl="1" w:tplc="BE4271BE">
      <w:start w:val="1"/>
      <w:numFmt w:val="bullet"/>
      <w:lvlText w:val="o"/>
      <w:lvlJc w:val="left"/>
      <w:pPr>
        <w:ind w:left="1440" w:hanging="360"/>
      </w:pPr>
      <w:rPr>
        <w:rFonts w:ascii="Courier New" w:hAnsi="Courier New" w:hint="default"/>
      </w:rPr>
    </w:lvl>
    <w:lvl w:ilvl="2" w:tplc="EEE4680E">
      <w:start w:val="1"/>
      <w:numFmt w:val="bullet"/>
      <w:lvlText w:val=""/>
      <w:lvlJc w:val="left"/>
      <w:pPr>
        <w:ind w:left="2160" w:hanging="360"/>
      </w:pPr>
      <w:rPr>
        <w:rFonts w:ascii="Wingdings" w:hAnsi="Wingdings" w:hint="default"/>
      </w:rPr>
    </w:lvl>
    <w:lvl w:ilvl="3" w:tplc="4D529064">
      <w:start w:val="1"/>
      <w:numFmt w:val="bullet"/>
      <w:lvlText w:val=""/>
      <w:lvlJc w:val="left"/>
      <w:pPr>
        <w:ind w:left="2880" w:hanging="360"/>
      </w:pPr>
      <w:rPr>
        <w:rFonts w:ascii="Symbol" w:hAnsi="Symbol" w:hint="default"/>
      </w:rPr>
    </w:lvl>
    <w:lvl w:ilvl="4" w:tplc="DB9EBA6C">
      <w:start w:val="1"/>
      <w:numFmt w:val="bullet"/>
      <w:lvlText w:val="o"/>
      <w:lvlJc w:val="left"/>
      <w:pPr>
        <w:ind w:left="3600" w:hanging="360"/>
      </w:pPr>
      <w:rPr>
        <w:rFonts w:ascii="Courier New" w:hAnsi="Courier New" w:hint="default"/>
      </w:rPr>
    </w:lvl>
    <w:lvl w:ilvl="5" w:tplc="59B60BAC">
      <w:start w:val="1"/>
      <w:numFmt w:val="bullet"/>
      <w:lvlText w:val=""/>
      <w:lvlJc w:val="left"/>
      <w:pPr>
        <w:ind w:left="4320" w:hanging="360"/>
      </w:pPr>
      <w:rPr>
        <w:rFonts w:ascii="Wingdings" w:hAnsi="Wingdings" w:hint="default"/>
      </w:rPr>
    </w:lvl>
    <w:lvl w:ilvl="6" w:tplc="26EC7DEA">
      <w:start w:val="1"/>
      <w:numFmt w:val="bullet"/>
      <w:lvlText w:val=""/>
      <w:lvlJc w:val="left"/>
      <w:pPr>
        <w:ind w:left="5040" w:hanging="360"/>
      </w:pPr>
      <w:rPr>
        <w:rFonts w:ascii="Symbol" w:hAnsi="Symbol" w:hint="default"/>
      </w:rPr>
    </w:lvl>
    <w:lvl w:ilvl="7" w:tplc="E0D4DAD2">
      <w:start w:val="1"/>
      <w:numFmt w:val="bullet"/>
      <w:lvlText w:val="o"/>
      <w:lvlJc w:val="left"/>
      <w:pPr>
        <w:ind w:left="5760" w:hanging="360"/>
      </w:pPr>
      <w:rPr>
        <w:rFonts w:ascii="Courier New" w:hAnsi="Courier New" w:hint="default"/>
      </w:rPr>
    </w:lvl>
    <w:lvl w:ilvl="8" w:tplc="27FC7202">
      <w:start w:val="1"/>
      <w:numFmt w:val="bullet"/>
      <w:lvlText w:val=""/>
      <w:lvlJc w:val="left"/>
      <w:pPr>
        <w:ind w:left="6480" w:hanging="360"/>
      </w:pPr>
      <w:rPr>
        <w:rFonts w:ascii="Wingdings" w:hAnsi="Wingdings" w:hint="default"/>
      </w:rPr>
    </w:lvl>
  </w:abstractNum>
  <w:abstractNum w:abstractNumId="20" w15:restartNumberingAfterBreak="0">
    <w:nsid w:val="524851BC"/>
    <w:multiLevelType w:val="hybridMultilevel"/>
    <w:tmpl w:val="BD8E870E"/>
    <w:lvl w:ilvl="0" w:tplc="DA42AFE8">
      <w:start w:val="1"/>
      <w:numFmt w:val="bullet"/>
      <w:lvlText w:val=""/>
      <w:lvlJc w:val="left"/>
      <w:pPr>
        <w:tabs>
          <w:tab w:val="num" w:pos="720"/>
        </w:tabs>
        <w:ind w:left="720" w:hanging="360"/>
      </w:pPr>
      <w:rPr>
        <w:rFonts w:ascii="Wingdings" w:hAnsi="Wingdings" w:hint="default"/>
      </w:rPr>
    </w:lvl>
    <w:lvl w:ilvl="1" w:tplc="DC5C7704" w:tentative="1">
      <w:start w:val="1"/>
      <w:numFmt w:val="bullet"/>
      <w:lvlText w:val=""/>
      <w:lvlJc w:val="left"/>
      <w:pPr>
        <w:tabs>
          <w:tab w:val="num" w:pos="1440"/>
        </w:tabs>
        <w:ind w:left="1440" w:hanging="360"/>
      </w:pPr>
      <w:rPr>
        <w:rFonts w:ascii="Wingdings" w:hAnsi="Wingdings" w:hint="default"/>
      </w:rPr>
    </w:lvl>
    <w:lvl w:ilvl="2" w:tplc="3B84A5D2" w:tentative="1">
      <w:start w:val="1"/>
      <w:numFmt w:val="bullet"/>
      <w:lvlText w:val=""/>
      <w:lvlJc w:val="left"/>
      <w:pPr>
        <w:tabs>
          <w:tab w:val="num" w:pos="2160"/>
        </w:tabs>
        <w:ind w:left="2160" w:hanging="360"/>
      </w:pPr>
      <w:rPr>
        <w:rFonts w:ascii="Wingdings" w:hAnsi="Wingdings" w:hint="default"/>
      </w:rPr>
    </w:lvl>
    <w:lvl w:ilvl="3" w:tplc="143EED10" w:tentative="1">
      <w:start w:val="1"/>
      <w:numFmt w:val="bullet"/>
      <w:lvlText w:val=""/>
      <w:lvlJc w:val="left"/>
      <w:pPr>
        <w:tabs>
          <w:tab w:val="num" w:pos="2880"/>
        </w:tabs>
        <w:ind w:left="2880" w:hanging="360"/>
      </w:pPr>
      <w:rPr>
        <w:rFonts w:ascii="Wingdings" w:hAnsi="Wingdings" w:hint="default"/>
      </w:rPr>
    </w:lvl>
    <w:lvl w:ilvl="4" w:tplc="3A7E3B9C" w:tentative="1">
      <w:start w:val="1"/>
      <w:numFmt w:val="bullet"/>
      <w:lvlText w:val=""/>
      <w:lvlJc w:val="left"/>
      <w:pPr>
        <w:tabs>
          <w:tab w:val="num" w:pos="3600"/>
        </w:tabs>
        <w:ind w:left="3600" w:hanging="360"/>
      </w:pPr>
      <w:rPr>
        <w:rFonts w:ascii="Wingdings" w:hAnsi="Wingdings" w:hint="default"/>
      </w:rPr>
    </w:lvl>
    <w:lvl w:ilvl="5" w:tplc="375AD33E" w:tentative="1">
      <w:start w:val="1"/>
      <w:numFmt w:val="bullet"/>
      <w:lvlText w:val=""/>
      <w:lvlJc w:val="left"/>
      <w:pPr>
        <w:tabs>
          <w:tab w:val="num" w:pos="4320"/>
        </w:tabs>
        <w:ind w:left="4320" w:hanging="360"/>
      </w:pPr>
      <w:rPr>
        <w:rFonts w:ascii="Wingdings" w:hAnsi="Wingdings" w:hint="default"/>
      </w:rPr>
    </w:lvl>
    <w:lvl w:ilvl="6" w:tplc="85EC0EBA" w:tentative="1">
      <w:start w:val="1"/>
      <w:numFmt w:val="bullet"/>
      <w:lvlText w:val=""/>
      <w:lvlJc w:val="left"/>
      <w:pPr>
        <w:tabs>
          <w:tab w:val="num" w:pos="5040"/>
        </w:tabs>
        <w:ind w:left="5040" w:hanging="360"/>
      </w:pPr>
      <w:rPr>
        <w:rFonts w:ascii="Wingdings" w:hAnsi="Wingdings" w:hint="default"/>
      </w:rPr>
    </w:lvl>
    <w:lvl w:ilvl="7" w:tplc="414EC3D2" w:tentative="1">
      <w:start w:val="1"/>
      <w:numFmt w:val="bullet"/>
      <w:lvlText w:val=""/>
      <w:lvlJc w:val="left"/>
      <w:pPr>
        <w:tabs>
          <w:tab w:val="num" w:pos="5760"/>
        </w:tabs>
        <w:ind w:left="5760" w:hanging="360"/>
      </w:pPr>
      <w:rPr>
        <w:rFonts w:ascii="Wingdings" w:hAnsi="Wingdings" w:hint="default"/>
      </w:rPr>
    </w:lvl>
    <w:lvl w:ilvl="8" w:tplc="D2C0A18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0149C"/>
    <w:multiLevelType w:val="hybridMultilevel"/>
    <w:tmpl w:val="BA62FA00"/>
    <w:lvl w:ilvl="0" w:tplc="6EA04BA0">
      <w:start w:val="1"/>
      <w:numFmt w:val="bullet"/>
      <w:lvlText w:val=""/>
      <w:lvlJc w:val="left"/>
      <w:pPr>
        <w:ind w:left="720" w:hanging="360"/>
      </w:pPr>
      <w:rPr>
        <w:rFonts w:ascii="Symbol" w:hAnsi="Symbol" w:hint="default"/>
      </w:rPr>
    </w:lvl>
    <w:lvl w:ilvl="1" w:tplc="BE5A0E96" w:tentative="1">
      <w:start w:val="1"/>
      <w:numFmt w:val="bullet"/>
      <w:lvlText w:val="o"/>
      <w:lvlJc w:val="left"/>
      <w:pPr>
        <w:ind w:left="1440" w:hanging="360"/>
      </w:pPr>
      <w:rPr>
        <w:rFonts w:ascii="Courier New" w:hAnsi="Courier New" w:cs="Courier New" w:hint="default"/>
      </w:rPr>
    </w:lvl>
    <w:lvl w:ilvl="2" w:tplc="F0F6D3B2" w:tentative="1">
      <w:start w:val="1"/>
      <w:numFmt w:val="bullet"/>
      <w:lvlText w:val=""/>
      <w:lvlJc w:val="left"/>
      <w:pPr>
        <w:ind w:left="2160" w:hanging="360"/>
      </w:pPr>
      <w:rPr>
        <w:rFonts w:ascii="Wingdings" w:hAnsi="Wingdings" w:hint="default"/>
      </w:rPr>
    </w:lvl>
    <w:lvl w:ilvl="3" w:tplc="1386818E" w:tentative="1">
      <w:start w:val="1"/>
      <w:numFmt w:val="bullet"/>
      <w:lvlText w:val=""/>
      <w:lvlJc w:val="left"/>
      <w:pPr>
        <w:ind w:left="2880" w:hanging="360"/>
      </w:pPr>
      <w:rPr>
        <w:rFonts w:ascii="Symbol" w:hAnsi="Symbol" w:hint="default"/>
      </w:rPr>
    </w:lvl>
    <w:lvl w:ilvl="4" w:tplc="C1B48880" w:tentative="1">
      <w:start w:val="1"/>
      <w:numFmt w:val="bullet"/>
      <w:lvlText w:val="o"/>
      <w:lvlJc w:val="left"/>
      <w:pPr>
        <w:ind w:left="3600" w:hanging="360"/>
      </w:pPr>
      <w:rPr>
        <w:rFonts w:ascii="Courier New" w:hAnsi="Courier New" w:cs="Courier New" w:hint="default"/>
      </w:rPr>
    </w:lvl>
    <w:lvl w:ilvl="5" w:tplc="1C486B92" w:tentative="1">
      <w:start w:val="1"/>
      <w:numFmt w:val="bullet"/>
      <w:lvlText w:val=""/>
      <w:lvlJc w:val="left"/>
      <w:pPr>
        <w:ind w:left="4320" w:hanging="360"/>
      </w:pPr>
      <w:rPr>
        <w:rFonts w:ascii="Wingdings" w:hAnsi="Wingdings" w:hint="default"/>
      </w:rPr>
    </w:lvl>
    <w:lvl w:ilvl="6" w:tplc="56FA3ECE" w:tentative="1">
      <w:start w:val="1"/>
      <w:numFmt w:val="bullet"/>
      <w:lvlText w:val=""/>
      <w:lvlJc w:val="left"/>
      <w:pPr>
        <w:ind w:left="5040" w:hanging="360"/>
      </w:pPr>
      <w:rPr>
        <w:rFonts w:ascii="Symbol" w:hAnsi="Symbol" w:hint="default"/>
      </w:rPr>
    </w:lvl>
    <w:lvl w:ilvl="7" w:tplc="AF2EFC1C" w:tentative="1">
      <w:start w:val="1"/>
      <w:numFmt w:val="bullet"/>
      <w:lvlText w:val="o"/>
      <w:lvlJc w:val="left"/>
      <w:pPr>
        <w:ind w:left="5760" w:hanging="360"/>
      </w:pPr>
      <w:rPr>
        <w:rFonts w:ascii="Courier New" w:hAnsi="Courier New" w:cs="Courier New" w:hint="default"/>
      </w:rPr>
    </w:lvl>
    <w:lvl w:ilvl="8" w:tplc="7E2CF0F4" w:tentative="1">
      <w:start w:val="1"/>
      <w:numFmt w:val="bullet"/>
      <w:lvlText w:val=""/>
      <w:lvlJc w:val="left"/>
      <w:pPr>
        <w:ind w:left="6480" w:hanging="360"/>
      </w:pPr>
      <w:rPr>
        <w:rFonts w:ascii="Wingdings" w:hAnsi="Wingdings" w:hint="default"/>
      </w:rPr>
    </w:lvl>
  </w:abstractNum>
  <w:abstractNum w:abstractNumId="22" w15:restartNumberingAfterBreak="0">
    <w:nsid w:val="654017A0"/>
    <w:multiLevelType w:val="hybridMultilevel"/>
    <w:tmpl w:val="04DCEB9C"/>
    <w:lvl w:ilvl="0" w:tplc="2AD8EE7A">
      <w:start w:val="1"/>
      <w:numFmt w:val="bullet"/>
      <w:lvlText w:val=""/>
      <w:lvlJc w:val="left"/>
      <w:pPr>
        <w:tabs>
          <w:tab w:val="num" w:pos="720"/>
        </w:tabs>
        <w:ind w:left="720" w:hanging="360"/>
      </w:pPr>
      <w:rPr>
        <w:rFonts w:ascii="Wingdings" w:hAnsi="Wingdings" w:hint="default"/>
      </w:rPr>
    </w:lvl>
    <w:lvl w:ilvl="1" w:tplc="51E05824" w:tentative="1">
      <w:start w:val="1"/>
      <w:numFmt w:val="bullet"/>
      <w:lvlText w:val=""/>
      <w:lvlJc w:val="left"/>
      <w:pPr>
        <w:tabs>
          <w:tab w:val="num" w:pos="1440"/>
        </w:tabs>
        <w:ind w:left="1440" w:hanging="360"/>
      </w:pPr>
      <w:rPr>
        <w:rFonts w:ascii="Wingdings" w:hAnsi="Wingdings" w:hint="default"/>
      </w:rPr>
    </w:lvl>
    <w:lvl w:ilvl="2" w:tplc="BFAE1B06" w:tentative="1">
      <w:start w:val="1"/>
      <w:numFmt w:val="bullet"/>
      <w:lvlText w:val=""/>
      <w:lvlJc w:val="left"/>
      <w:pPr>
        <w:tabs>
          <w:tab w:val="num" w:pos="2160"/>
        </w:tabs>
        <w:ind w:left="2160" w:hanging="360"/>
      </w:pPr>
      <w:rPr>
        <w:rFonts w:ascii="Wingdings" w:hAnsi="Wingdings" w:hint="default"/>
      </w:rPr>
    </w:lvl>
    <w:lvl w:ilvl="3" w:tplc="0FF45CE6" w:tentative="1">
      <w:start w:val="1"/>
      <w:numFmt w:val="bullet"/>
      <w:lvlText w:val=""/>
      <w:lvlJc w:val="left"/>
      <w:pPr>
        <w:tabs>
          <w:tab w:val="num" w:pos="2880"/>
        </w:tabs>
        <w:ind w:left="2880" w:hanging="360"/>
      </w:pPr>
      <w:rPr>
        <w:rFonts w:ascii="Wingdings" w:hAnsi="Wingdings" w:hint="default"/>
      </w:rPr>
    </w:lvl>
    <w:lvl w:ilvl="4" w:tplc="366C28AE" w:tentative="1">
      <w:start w:val="1"/>
      <w:numFmt w:val="bullet"/>
      <w:lvlText w:val=""/>
      <w:lvlJc w:val="left"/>
      <w:pPr>
        <w:tabs>
          <w:tab w:val="num" w:pos="3600"/>
        </w:tabs>
        <w:ind w:left="3600" w:hanging="360"/>
      </w:pPr>
      <w:rPr>
        <w:rFonts w:ascii="Wingdings" w:hAnsi="Wingdings" w:hint="default"/>
      </w:rPr>
    </w:lvl>
    <w:lvl w:ilvl="5" w:tplc="0D62B22E" w:tentative="1">
      <w:start w:val="1"/>
      <w:numFmt w:val="bullet"/>
      <w:lvlText w:val=""/>
      <w:lvlJc w:val="left"/>
      <w:pPr>
        <w:tabs>
          <w:tab w:val="num" w:pos="4320"/>
        </w:tabs>
        <w:ind w:left="4320" w:hanging="360"/>
      </w:pPr>
      <w:rPr>
        <w:rFonts w:ascii="Wingdings" w:hAnsi="Wingdings" w:hint="default"/>
      </w:rPr>
    </w:lvl>
    <w:lvl w:ilvl="6" w:tplc="07B0308C" w:tentative="1">
      <w:start w:val="1"/>
      <w:numFmt w:val="bullet"/>
      <w:lvlText w:val=""/>
      <w:lvlJc w:val="left"/>
      <w:pPr>
        <w:tabs>
          <w:tab w:val="num" w:pos="5040"/>
        </w:tabs>
        <w:ind w:left="5040" w:hanging="360"/>
      </w:pPr>
      <w:rPr>
        <w:rFonts w:ascii="Wingdings" w:hAnsi="Wingdings" w:hint="default"/>
      </w:rPr>
    </w:lvl>
    <w:lvl w:ilvl="7" w:tplc="BD448C7E" w:tentative="1">
      <w:start w:val="1"/>
      <w:numFmt w:val="bullet"/>
      <w:lvlText w:val=""/>
      <w:lvlJc w:val="left"/>
      <w:pPr>
        <w:tabs>
          <w:tab w:val="num" w:pos="5760"/>
        </w:tabs>
        <w:ind w:left="5760" w:hanging="360"/>
      </w:pPr>
      <w:rPr>
        <w:rFonts w:ascii="Wingdings" w:hAnsi="Wingdings" w:hint="default"/>
      </w:rPr>
    </w:lvl>
    <w:lvl w:ilvl="8" w:tplc="3910846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F5BAD"/>
    <w:multiLevelType w:val="hybridMultilevel"/>
    <w:tmpl w:val="939E89DA"/>
    <w:lvl w:ilvl="0" w:tplc="CD0CFCA4">
      <w:start w:val="1"/>
      <w:numFmt w:val="bullet"/>
      <w:lvlText w:val=""/>
      <w:lvlJc w:val="left"/>
      <w:pPr>
        <w:tabs>
          <w:tab w:val="num" w:pos="720"/>
        </w:tabs>
        <w:ind w:left="720" w:hanging="360"/>
      </w:pPr>
      <w:rPr>
        <w:rFonts w:ascii="Wingdings" w:hAnsi="Wingdings" w:hint="default"/>
      </w:rPr>
    </w:lvl>
    <w:lvl w:ilvl="1" w:tplc="E1703952" w:tentative="1">
      <w:start w:val="1"/>
      <w:numFmt w:val="bullet"/>
      <w:lvlText w:val=""/>
      <w:lvlJc w:val="left"/>
      <w:pPr>
        <w:tabs>
          <w:tab w:val="num" w:pos="1440"/>
        </w:tabs>
        <w:ind w:left="1440" w:hanging="360"/>
      </w:pPr>
      <w:rPr>
        <w:rFonts w:ascii="Wingdings" w:hAnsi="Wingdings" w:hint="default"/>
      </w:rPr>
    </w:lvl>
    <w:lvl w:ilvl="2" w:tplc="61B61DE0" w:tentative="1">
      <w:start w:val="1"/>
      <w:numFmt w:val="bullet"/>
      <w:lvlText w:val=""/>
      <w:lvlJc w:val="left"/>
      <w:pPr>
        <w:tabs>
          <w:tab w:val="num" w:pos="2160"/>
        </w:tabs>
        <w:ind w:left="2160" w:hanging="360"/>
      </w:pPr>
      <w:rPr>
        <w:rFonts w:ascii="Wingdings" w:hAnsi="Wingdings" w:hint="default"/>
      </w:rPr>
    </w:lvl>
    <w:lvl w:ilvl="3" w:tplc="8EE08C4E" w:tentative="1">
      <w:start w:val="1"/>
      <w:numFmt w:val="bullet"/>
      <w:lvlText w:val=""/>
      <w:lvlJc w:val="left"/>
      <w:pPr>
        <w:tabs>
          <w:tab w:val="num" w:pos="2880"/>
        </w:tabs>
        <w:ind w:left="2880" w:hanging="360"/>
      </w:pPr>
      <w:rPr>
        <w:rFonts w:ascii="Wingdings" w:hAnsi="Wingdings" w:hint="default"/>
      </w:rPr>
    </w:lvl>
    <w:lvl w:ilvl="4" w:tplc="2500D952" w:tentative="1">
      <w:start w:val="1"/>
      <w:numFmt w:val="bullet"/>
      <w:lvlText w:val=""/>
      <w:lvlJc w:val="left"/>
      <w:pPr>
        <w:tabs>
          <w:tab w:val="num" w:pos="3600"/>
        </w:tabs>
        <w:ind w:left="3600" w:hanging="360"/>
      </w:pPr>
      <w:rPr>
        <w:rFonts w:ascii="Wingdings" w:hAnsi="Wingdings" w:hint="default"/>
      </w:rPr>
    </w:lvl>
    <w:lvl w:ilvl="5" w:tplc="BAA0223A" w:tentative="1">
      <w:start w:val="1"/>
      <w:numFmt w:val="bullet"/>
      <w:lvlText w:val=""/>
      <w:lvlJc w:val="left"/>
      <w:pPr>
        <w:tabs>
          <w:tab w:val="num" w:pos="4320"/>
        </w:tabs>
        <w:ind w:left="4320" w:hanging="360"/>
      </w:pPr>
      <w:rPr>
        <w:rFonts w:ascii="Wingdings" w:hAnsi="Wingdings" w:hint="default"/>
      </w:rPr>
    </w:lvl>
    <w:lvl w:ilvl="6" w:tplc="579C979E" w:tentative="1">
      <w:start w:val="1"/>
      <w:numFmt w:val="bullet"/>
      <w:lvlText w:val=""/>
      <w:lvlJc w:val="left"/>
      <w:pPr>
        <w:tabs>
          <w:tab w:val="num" w:pos="5040"/>
        </w:tabs>
        <w:ind w:left="5040" w:hanging="360"/>
      </w:pPr>
      <w:rPr>
        <w:rFonts w:ascii="Wingdings" w:hAnsi="Wingdings" w:hint="default"/>
      </w:rPr>
    </w:lvl>
    <w:lvl w:ilvl="7" w:tplc="15D27B64" w:tentative="1">
      <w:start w:val="1"/>
      <w:numFmt w:val="bullet"/>
      <w:lvlText w:val=""/>
      <w:lvlJc w:val="left"/>
      <w:pPr>
        <w:tabs>
          <w:tab w:val="num" w:pos="5760"/>
        </w:tabs>
        <w:ind w:left="5760" w:hanging="360"/>
      </w:pPr>
      <w:rPr>
        <w:rFonts w:ascii="Wingdings" w:hAnsi="Wingdings" w:hint="default"/>
      </w:rPr>
    </w:lvl>
    <w:lvl w:ilvl="8" w:tplc="1EAE3D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9604F"/>
    <w:multiLevelType w:val="hybridMultilevel"/>
    <w:tmpl w:val="27AE95AA"/>
    <w:lvl w:ilvl="0" w:tplc="0E729E06">
      <w:start w:val="1"/>
      <w:numFmt w:val="bullet"/>
      <w:lvlText w:val=""/>
      <w:lvlJc w:val="left"/>
      <w:pPr>
        <w:tabs>
          <w:tab w:val="num" w:pos="720"/>
        </w:tabs>
        <w:ind w:left="720" w:hanging="360"/>
      </w:pPr>
      <w:rPr>
        <w:rFonts w:ascii="Wingdings" w:hAnsi="Wingdings" w:hint="default"/>
      </w:rPr>
    </w:lvl>
    <w:lvl w:ilvl="1" w:tplc="E08603B4">
      <w:start w:val="1"/>
      <w:numFmt w:val="bullet"/>
      <w:lvlText w:val=""/>
      <w:lvlJc w:val="left"/>
      <w:pPr>
        <w:tabs>
          <w:tab w:val="num" w:pos="1440"/>
        </w:tabs>
        <w:ind w:left="1440" w:hanging="360"/>
      </w:pPr>
      <w:rPr>
        <w:rFonts w:ascii="Wingdings" w:hAnsi="Wingdings" w:hint="default"/>
      </w:rPr>
    </w:lvl>
    <w:lvl w:ilvl="2" w:tplc="4ACA82E6" w:tentative="1">
      <w:start w:val="1"/>
      <w:numFmt w:val="bullet"/>
      <w:lvlText w:val=""/>
      <w:lvlJc w:val="left"/>
      <w:pPr>
        <w:tabs>
          <w:tab w:val="num" w:pos="2160"/>
        </w:tabs>
        <w:ind w:left="2160" w:hanging="360"/>
      </w:pPr>
      <w:rPr>
        <w:rFonts w:ascii="Wingdings" w:hAnsi="Wingdings" w:hint="default"/>
      </w:rPr>
    </w:lvl>
    <w:lvl w:ilvl="3" w:tplc="4588029A" w:tentative="1">
      <w:start w:val="1"/>
      <w:numFmt w:val="bullet"/>
      <w:lvlText w:val=""/>
      <w:lvlJc w:val="left"/>
      <w:pPr>
        <w:tabs>
          <w:tab w:val="num" w:pos="2880"/>
        </w:tabs>
        <w:ind w:left="2880" w:hanging="360"/>
      </w:pPr>
      <w:rPr>
        <w:rFonts w:ascii="Wingdings" w:hAnsi="Wingdings" w:hint="default"/>
      </w:rPr>
    </w:lvl>
    <w:lvl w:ilvl="4" w:tplc="0FAA4358" w:tentative="1">
      <w:start w:val="1"/>
      <w:numFmt w:val="bullet"/>
      <w:lvlText w:val=""/>
      <w:lvlJc w:val="left"/>
      <w:pPr>
        <w:tabs>
          <w:tab w:val="num" w:pos="3600"/>
        </w:tabs>
        <w:ind w:left="3600" w:hanging="360"/>
      </w:pPr>
      <w:rPr>
        <w:rFonts w:ascii="Wingdings" w:hAnsi="Wingdings" w:hint="default"/>
      </w:rPr>
    </w:lvl>
    <w:lvl w:ilvl="5" w:tplc="194859E8" w:tentative="1">
      <w:start w:val="1"/>
      <w:numFmt w:val="bullet"/>
      <w:lvlText w:val=""/>
      <w:lvlJc w:val="left"/>
      <w:pPr>
        <w:tabs>
          <w:tab w:val="num" w:pos="4320"/>
        </w:tabs>
        <w:ind w:left="4320" w:hanging="360"/>
      </w:pPr>
      <w:rPr>
        <w:rFonts w:ascii="Wingdings" w:hAnsi="Wingdings" w:hint="default"/>
      </w:rPr>
    </w:lvl>
    <w:lvl w:ilvl="6" w:tplc="A27C03E6" w:tentative="1">
      <w:start w:val="1"/>
      <w:numFmt w:val="bullet"/>
      <w:lvlText w:val=""/>
      <w:lvlJc w:val="left"/>
      <w:pPr>
        <w:tabs>
          <w:tab w:val="num" w:pos="5040"/>
        </w:tabs>
        <w:ind w:left="5040" w:hanging="360"/>
      </w:pPr>
      <w:rPr>
        <w:rFonts w:ascii="Wingdings" w:hAnsi="Wingdings" w:hint="default"/>
      </w:rPr>
    </w:lvl>
    <w:lvl w:ilvl="7" w:tplc="D8584682" w:tentative="1">
      <w:start w:val="1"/>
      <w:numFmt w:val="bullet"/>
      <w:lvlText w:val=""/>
      <w:lvlJc w:val="left"/>
      <w:pPr>
        <w:tabs>
          <w:tab w:val="num" w:pos="5760"/>
        </w:tabs>
        <w:ind w:left="5760" w:hanging="360"/>
      </w:pPr>
      <w:rPr>
        <w:rFonts w:ascii="Wingdings" w:hAnsi="Wingdings" w:hint="default"/>
      </w:rPr>
    </w:lvl>
    <w:lvl w:ilvl="8" w:tplc="4FAE236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BA30BA"/>
    <w:multiLevelType w:val="hybridMultilevel"/>
    <w:tmpl w:val="0276B67E"/>
    <w:lvl w:ilvl="0" w:tplc="907C5C54">
      <w:start w:val="1"/>
      <w:numFmt w:val="bullet"/>
      <w:lvlText w:val=""/>
      <w:lvlJc w:val="left"/>
      <w:pPr>
        <w:tabs>
          <w:tab w:val="num" w:pos="720"/>
        </w:tabs>
        <w:ind w:left="720" w:hanging="360"/>
      </w:pPr>
      <w:rPr>
        <w:rFonts w:ascii="Symbol" w:hAnsi="Symbol" w:hint="default"/>
      </w:rPr>
    </w:lvl>
    <w:lvl w:ilvl="1" w:tplc="807EEF7A" w:tentative="1">
      <w:start w:val="1"/>
      <w:numFmt w:val="bullet"/>
      <w:lvlText w:val=""/>
      <w:lvlJc w:val="left"/>
      <w:pPr>
        <w:tabs>
          <w:tab w:val="num" w:pos="1440"/>
        </w:tabs>
        <w:ind w:left="1440" w:hanging="360"/>
      </w:pPr>
      <w:rPr>
        <w:rFonts w:ascii="Symbol" w:hAnsi="Symbol" w:hint="default"/>
      </w:rPr>
    </w:lvl>
    <w:lvl w:ilvl="2" w:tplc="D68AE7DE" w:tentative="1">
      <w:start w:val="1"/>
      <w:numFmt w:val="bullet"/>
      <w:lvlText w:val=""/>
      <w:lvlJc w:val="left"/>
      <w:pPr>
        <w:tabs>
          <w:tab w:val="num" w:pos="2160"/>
        </w:tabs>
        <w:ind w:left="2160" w:hanging="360"/>
      </w:pPr>
      <w:rPr>
        <w:rFonts w:ascii="Symbol" w:hAnsi="Symbol" w:hint="default"/>
      </w:rPr>
    </w:lvl>
    <w:lvl w:ilvl="3" w:tplc="F0CA06B4" w:tentative="1">
      <w:start w:val="1"/>
      <w:numFmt w:val="bullet"/>
      <w:lvlText w:val=""/>
      <w:lvlJc w:val="left"/>
      <w:pPr>
        <w:tabs>
          <w:tab w:val="num" w:pos="2880"/>
        </w:tabs>
        <w:ind w:left="2880" w:hanging="360"/>
      </w:pPr>
      <w:rPr>
        <w:rFonts w:ascii="Symbol" w:hAnsi="Symbol" w:hint="default"/>
      </w:rPr>
    </w:lvl>
    <w:lvl w:ilvl="4" w:tplc="ABEC2FB0" w:tentative="1">
      <w:start w:val="1"/>
      <w:numFmt w:val="bullet"/>
      <w:lvlText w:val=""/>
      <w:lvlJc w:val="left"/>
      <w:pPr>
        <w:tabs>
          <w:tab w:val="num" w:pos="3600"/>
        </w:tabs>
        <w:ind w:left="3600" w:hanging="360"/>
      </w:pPr>
      <w:rPr>
        <w:rFonts w:ascii="Symbol" w:hAnsi="Symbol" w:hint="default"/>
      </w:rPr>
    </w:lvl>
    <w:lvl w:ilvl="5" w:tplc="D24071D8" w:tentative="1">
      <w:start w:val="1"/>
      <w:numFmt w:val="bullet"/>
      <w:lvlText w:val=""/>
      <w:lvlJc w:val="left"/>
      <w:pPr>
        <w:tabs>
          <w:tab w:val="num" w:pos="4320"/>
        </w:tabs>
        <w:ind w:left="4320" w:hanging="360"/>
      </w:pPr>
      <w:rPr>
        <w:rFonts w:ascii="Symbol" w:hAnsi="Symbol" w:hint="default"/>
      </w:rPr>
    </w:lvl>
    <w:lvl w:ilvl="6" w:tplc="D7685F8E" w:tentative="1">
      <w:start w:val="1"/>
      <w:numFmt w:val="bullet"/>
      <w:lvlText w:val=""/>
      <w:lvlJc w:val="left"/>
      <w:pPr>
        <w:tabs>
          <w:tab w:val="num" w:pos="5040"/>
        </w:tabs>
        <w:ind w:left="5040" w:hanging="360"/>
      </w:pPr>
      <w:rPr>
        <w:rFonts w:ascii="Symbol" w:hAnsi="Symbol" w:hint="default"/>
      </w:rPr>
    </w:lvl>
    <w:lvl w:ilvl="7" w:tplc="2BFE3534" w:tentative="1">
      <w:start w:val="1"/>
      <w:numFmt w:val="bullet"/>
      <w:lvlText w:val=""/>
      <w:lvlJc w:val="left"/>
      <w:pPr>
        <w:tabs>
          <w:tab w:val="num" w:pos="5760"/>
        </w:tabs>
        <w:ind w:left="5760" w:hanging="360"/>
      </w:pPr>
      <w:rPr>
        <w:rFonts w:ascii="Symbol" w:hAnsi="Symbol" w:hint="default"/>
      </w:rPr>
    </w:lvl>
    <w:lvl w:ilvl="8" w:tplc="71F08254" w:tentative="1">
      <w:start w:val="1"/>
      <w:numFmt w:val="bullet"/>
      <w:lvlText w:val=""/>
      <w:lvlJc w:val="left"/>
      <w:pPr>
        <w:tabs>
          <w:tab w:val="num" w:pos="6480"/>
        </w:tabs>
        <w:ind w:left="6480" w:hanging="360"/>
      </w:pPr>
      <w:rPr>
        <w:rFonts w:ascii="Symbol" w:hAnsi="Symbol" w:hint="default"/>
      </w:rPr>
    </w:lvl>
  </w:abstractNum>
  <w:num w:numId="1" w16cid:durableId="541746180">
    <w:abstractNumId w:val="12"/>
  </w:num>
  <w:num w:numId="2" w16cid:durableId="1784495499">
    <w:abstractNumId w:val="19"/>
  </w:num>
  <w:num w:numId="3" w16cid:durableId="1574314624">
    <w:abstractNumId w:val="8"/>
  </w:num>
  <w:num w:numId="4" w16cid:durableId="2131392776">
    <w:abstractNumId w:val="6"/>
  </w:num>
  <w:num w:numId="5" w16cid:durableId="1904290433">
    <w:abstractNumId w:val="5"/>
  </w:num>
  <w:num w:numId="6" w16cid:durableId="1956523999">
    <w:abstractNumId w:val="4"/>
  </w:num>
  <w:num w:numId="7" w16cid:durableId="1139493418">
    <w:abstractNumId w:val="7"/>
  </w:num>
  <w:num w:numId="8" w16cid:durableId="111898865">
    <w:abstractNumId w:val="3"/>
  </w:num>
  <w:num w:numId="9" w16cid:durableId="824853958">
    <w:abstractNumId w:val="2"/>
  </w:num>
  <w:num w:numId="10" w16cid:durableId="1017466025">
    <w:abstractNumId w:val="1"/>
  </w:num>
  <w:num w:numId="11" w16cid:durableId="707488120">
    <w:abstractNumId w:val="0"/>
  </w:num>
  <w:num w:numId="12" w16cid:durableId="2060588339">
    <w:abstractNumId w:val="20"/>
  </w:num>
  <w:num w:numId="13" w16cid:durableId="2003045233">
    <w:abstractNumId w:val="13"/>
  </w:num>
  <w:num w:numId="14" w16cid:durableId="978265068">
    <w:abstractNumId w:val="17"/>
  </w:num>
  <w:num w:numId="15" w16cid:durableId="778376241">
    <w:abstractNumId w:val="9"/>
  </w:num>
  <w:num w:numId="16" w16cid:durableId="1266235184">
    <w:abstractNumId w:val="23"/>
  </w:num>
  <w:num w:numId="17" w16cid:durableId="1376126238">
    <w:abstractNumId w:val="22"/>
  </w:num>
  <w:num w:numId="18" w16cid:durableId="1250578203">
    <w:abstractNumId w:val="14"/>
  </w:num>
  <w:num w:numId="19" w16cid:durableId="1506936397">
    <w:abstractNumId w:val="24"/>
  </w:num>
  <w:num w:numId="20" w16cid:durableId="1840579982">
    <w:abstractNumId w:val="16"/>
  </w:num>
  <w:num w:numId="21" w16cid:durableId="687826737">
    <w:abstractNumId w:val="15"/>
  </w:num>
  <w:num w:numId="22" w16cid:durableId="163519090">
    <w:abstractNumId w:val="25"/>
  </w:num>
  <w:num w:numId="23" w16cid:durableId="1520239013">
    <w:abstractNumId w:val="11"/>
  </w:num>
  <w:num w:numId="24" w16cid:durableId="1413702034">
    <w:abstractNumId w:val="18"/>
  </w:num>
  <w:num w:numId="25" w16cid:durableId="657196869">
    <w:abstractNumId w:val="10"/>
  </w:num>
  <w:num w:numId="26" w16cid:durableId="1853671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157"/>
    <w:rsid w:val="00011FF1"/>
    <w:rsid w:val="00013F99"/>
    <w:rsid w:val="0002001B"/>
    <w:rsid w:val="00021256"/>
    <w:rsid w:val="00023158"/>
    <w:rsid w:val="00030349"/>
    <w:rsid w:val="00031B1D"/>
    <w:rsid w:val="0003299F"/>
    <w:rsid w:val="00034616"/>
    <w:rsid w:val="000421CA"/>
    <w:rsid w:val="00045C1C"/>
    <w:rsid w:val="0005270E"/>
    <w:rsid w:val="00056EDC"/>
    <w:rsid w:val="0006063C"/>
    <w:rsid w:val="00076517"/>
    <w:rsid w:val="00076C44"/>
    <w:rsid w:val="000911A6"/>
    <w:rsid w:val="000916DF"/>
    <w:rsid w:val="00092F24"/>
    <w:rsid w:val="000A0864"/>
    <w:rsid w:val="000A1F1E"/>
    <w:rsid w:val="000A2E0D"/>
    <w:rsid w:val="000A2ECF"/>
    <w:rsid w:val="000A3EAB"/>
    <w:rsid w:val="000A467A"/>
    <w:rsid w:val="000B0D50"/>
    <w:rsid w:val="000B7836"/>
    <w:rsid w:val="000C1372"/>
    <w:rsid w:val="000C2D3D"/>
    <w:rsid w:val="000C5B19"/>
    <w:rsid w:val="000D0F2E"/>
    <w:rsid w:val="000D2B91"/>
    <w:rsid w:val="000D47A0"/>
    <w:rsid w:val="000E0AD8"/>
    <w:rsid w:val="000E38B6"/>
    <w:rsid w:val="000F2420"/>
    <w:rsid w:val="000F54EC"/>
    <w:rsid w:val="001055C3"/>
    <w:rsid w:val="00111AB3"/>
    <w:rsid w:val="00112A6E"/>
    <w:rsid w:val="00114CA4"/>
    <w:rsid w:val="00120186"/>
    <w:rsid w:val="0012146F"/>
    <w:rsid w:val="00127F38"/>
    <w:rsid w:val="001338D4"/>
    <w:rsid w:val="00134B11"/>
    <w:rsid w:val="00135FE4"/>
    <w:rsid w:val="00136459"/>
    <w:rsid w:val="001408AF"/>
    <w:rsid w:val="00143887"/>
    <w:rsid w:val="001445C7"/>
    <w:rsid w:val="00146C58"/>
    <w:rsid w:val="001505FA"/>
    <w:rsid w:val="0015074B"/>
    <w:rsid w:val="00155934"/>
    <w:rsid w:val="00156971"/>
    <w:rsid w:val="001603ED"/>
    <w:rsid w:val="001621E0"/>
    <w:rsid w:val="001665EE"/>
    <w:rsid w:val="00170C14"/>
    <w:rsid w:val="00170E1D"/>
    <w:rsid w:val="001917B6"/>
    <w:rsid w:val="001A709D"/>
    <w:rsid w:val="001B08F4"/>
    <w:rsid w:val="001B3739"/>
    <w:rsid w:val="001C58CF"/>
    <w:rsid w:val="001D0E1E"/>
    <w:rsid w:val="001D14F6"/>
    <w:rsid w:val="001D2768"/>
    <w:rsid w:val="001D2B4F"/>
    <w:rsid w:val="001E57A2"/>
    <w:rsid w:val="001F2CBF"/>
    <w:rsid w:val="001F39B8"/>
    <w:rsid w:val="0020351B"/>
    <w:rsid w:val="0020374D"/>
    <w:rsid w:val="00206C1F"/>
    <w:rsid w:val="0021164F"/>
    <w:rsid w:val="002127C4"/>
    <w:rsid w:val="002133A7"/>
    <w:rsid w:val="00217847"/>
    <w:rsid w:val="00217AB4"/>
    <w:rsid w:val="00230732"/>
    <w:rsid w:val="002314C9"/>
    <w:rsid w:val="00232D46"/>
    <w:rsid w:val="0024306B"/>
    <w:rsid w:val="0024492B"/>
    <w:rsid w:val="00246393"/>
    <w:rsid w:val="0025605B"/>
    <w:rsid w:val="0025691E"/>
    <w:rsid w:val="00261C50"/>
    <w:rsid w:val="00265A41"/>
    <w:rsid w:val="00265A50"/>
    <w:rsid w:val="00266442"/>
    <w:rsid w:val="002701E6"/>
    <w:rsid w:val="002705B1"/>
    <w:rsid w:val="00273F2F"/>
    <w:rsid w:val="00274D29"/>
    <w:rsid w:val="0027616B"/>
    <w:rsid w:val="00280A7F"/>
    <w:rsid w:val="00281327"/>
    <w:rsid w:val="00281DAD"/>
    <w:rsid w:val="00287078"/>
    <w:rsid w:val="00295006"/>
    <w:rsid w:val="0029639D"/>
    <w:rsid w:val="0029749C"/>
    <w:rsid w:val="002A3CC1"/>
    <w:rsid w:val="002B03C1"/>
    <w:rsid w:val="002B5955"/>
    <w:rsid w:val="002B5C65"/>
    <w:rsid w:val="002B7705"/>
    <w:rsid w:val="002C3309"/>
    <w:rsid w:val="002C7BE6"/>
    <w:rsid w:val="002D2F05"/>
    <w:rsid w:val="002D3B23"/>
    <w:rsid w:val="002D5B5E"/>
    <w:rsid w:val="002E2374"/>
    <w:rsid w:val="002F0A1B"/>
    <w:rsid w:val="002F0E6C"/>
    <w:rsid w:val="002F28BB"/>
    <w:rsid w:val="002F5A93"/>
    <w:rsid w:val="002F7D66"/>
    <w:rsid w:val="00300DA5"/>
    <w:rsid w:val="00313A99"/>
    <w:rsid w:val="00313E46"/>
    <w:rsid w:val="00316114"/>
    <w:rsid w:val="00320A8E"/>
    <w:rsid w:val="0032137D"/>
    <w:rsid w:val="00325AAD"/>
    <w:rsid w:val="00326F90"/>
    <w:rsid w:val="003419C5"/>
    <w:rsid w:val="003507EB"/>
    <w:rsid w:val="003522E2"/>
    <w:rsid w:val="0035235A"/>
    <w:rsid w:val="00352BB4"/>
    <w:rsid w:val="00353DDD"/>
    <w:rsid w:val="00354E49"/>
    <w:rsid w:val="003575E9"/>
    <w:rsid w:val="003575FC"/>
    <w:rsid w:val="00357977"/>
    <w:rsid w:val="003638F0"/>
    <w:rsid w:val="00364444"/>
    <w:rsid w:val="00364ED1"/>
    <w:rsid w:val="0037167D"/>
    <w:rsid w:val="00380B41"/>
    <w:rsid w:val="00383E1F"/>
    <w:rsid w:val="0038434B"/>
    <w:rsid w:val="003856AD"/>
    <w:rsid w:val="00385E4D"/>
    <w:rsid w:val="003A35E1"/>
    <w:rsid w:val="003A5DFA"/>
    <w:rsid w:val="003B12CA"/>
    <w:rsid w:val="003B79BA"/>
    <w:rsid w:val="003C0696"/>
    <w:rsid w:val="003C4086"/>
    <w:rsid w:val="003C74A0"/>
    <w:rsid w:val="003D218D"/>
    <w:rsid w:val="003D6ECB"/>
    <w:rsid w:val="003D74C6"/>
    <w:rsid w:val="003E1835"/>
    <w:rsid w:val="003E2EC7"/>
    <w:rsid w:val="003E77BF"/>
    <w:rsid w:val="004050F6"/>
    <w:rsid w:val="004074B0"/>
    <w:rsid w:val="00410454"/>
    <w:rsid w:val="004110A5"/>
    <w:rsid w:val="00413476"/>
    <w:rsid w:val="00421BAF"/>
    <w:rsid w:val="00421D50"/>
    <w:rsid w:val="00423F93"/>
    <w:rsid w:val="00430467"/>
    <w:rsid w:val="0043142C"/>
    <w:rsid w:val="00433EBB"/>
    <w:rsid w:val="004420CC"/>
    <w:rsid w:val="00446429"/>
    <w:rsid w:val="00456D46"/>
    <w:rsid w:val="004577BF"/>
    <w:rsid w:val="004767A7"/>
    <w:rsid w:val="00480E0E"/>
    <w:rsid w:val="00482C42"/>
    <w:rsid w:val="00496229"/>
    <w:rsid w:val="004A06C6"/>
    <w:rsid w:val="004A3605"/>
    <w:rsid w:val="004A4E68"/>
    <w:rsid w:val="004A7463"/>
    <w:rsid w:val="004C5273"/>
    <w:rsid w:val="004D17B4"/>
    <w:rsid w:val="004D4DB0"/>
    <w:rsid w:val="004E5E56"/>
    <w:rsid w:val="004F1BFF"/>
    <w:rsid w:val="005124EB"/>
    <w:rsid w:val="00514145"/>
    <w:rsid w:val="00517CB7"/>
    <w:rsid w:val="00520893"/>
    <w:rsid w:val="00521138"/>
    <w:rsid w:val="005212DE"/>
    <w:rsid w:val="005227E9"/>
    <w:rsid w:val="00525AE3"/>
    <w:rsid w:val="005314EA"/>
    <w:rsid w:val="00540BE5"/>
    <w:rsid w:val="00561DDC"/>
    <w:rsid w:val="00571700"/>
    <w:rsid w:val="0057290E"/>
    <w:rsid w:val="005879E4"/>
    <w:rsid w:val="00594987"/>
    <w:rsid w:val="00596543"/>
    <w:rsid w:val="005A3464"/>
    <w:rsid w:val="005A3F40"/>
    <w:rsid w:val="005A4CA2"/>
    <w:rsid w:val="005A6AF6"/>
    <w:rsid w:val="005A74E7"/>
    <w:rsid w:val="005B0919"/>
    <w:rsid w:val="005B4F40"/>
    <w:rsid w:val="005B59F4"/>
    <w:rsid w:val="005C29FD"/>
    <w:rsid w:val="005C346A"/>
    <w:rsid w:val="005C424E"/>
    <w:rsid w:val="005D092B"/>
    <w:rsid w:val="005D6E88"/>
    <w:rsid w:val="005E032A"/>
    <w:rsid w:val="005E2A14"/>
    <w:rsid w:val="005F27E2"/>
    <w:rsid w:val="005F46D9"/>
    <w:rsid w:val="005F5144"/>
    <w:rsid w:val="006000A5"/>
    <w:rsid w:val="00601FFB"/>
    <w:rsid w:val="00603239"/>
    <w:rsid w:val="00607357"/>
    <w:rsid w:val="00617E29"/>
    <w:rsid w:val="00625DA5"/>
    <w:rsid w:val="0063137B"/>
    <w:rsid w:val="006368FC"/>
    <w:rsid w:val="006372DE"/>
    <w:rsid w:val="00644797"/>
    <w:rsid w:val="006462B4"/>
    <w:rsid w:val="006569D4"/>
    <w:rsid w:val="00671CFC"/>
    <w:rsid w:val="00672358"/>
    <w:rsid w:val="00674448"/>
    <w:rsid w:val="00675FB7"/>
    <w:rsid w:val="00680DA3"/>
    <w:rsid w:val="006856C1"/>
    <w:rsid w:val="00693286"/>
    <w:rsid w:val="00693AA6"/>
    <w:rsid w:val="006A1759"/>
    <w:rsid w:val="006A4C18"/>
    <w:rsid w:val="006A7D21"/>
    <w:rsid w:val="006B399C"/>
    <w:rsid w:val="006B3B50"/>
    <w:rsid w:val="006B5ABC"/>
    <w:rsid w:val="006B7CF7"/>
    <w:rsid w:val="006C735A"/>
    <w:rsid w:val="006D0A6E"/>
    <w:rsid w:val="006D296F"/>
    <w:rsid w:val="006D515A"/>
    <w:rsid w:val="006E5321"/>
    <w:rsid w:val="006F0C35"/>
    <w:rsid w:val="006F61BF"/>
    <w:rsid w:val="00701E23"/>
    <w:rsid w:val="00720659"/>
    <w:rsid w:val="00723BDC"/>
    <w:rsid w:val="00725EAB"/>
    <w:rsid w:val="00726E41"/>
    <w:rsid w:val="007270F9"/>
    <w:rsid w:val="007329A0"/>
    <w:rsid w:val="0073331A"/>
    <w:rsid w:val="007337CF"/>
    <w:rsid w:val="00735529"/>
    <w:rsid w:val="00736109"/>
    <w:rsid w:val="00750DBF"/>
    <w:rsid w:val="007523CC"/>
    <w:rsid w:val="007546CF"/>
    <w:rsid w:val="00760C94"/>
    <w:rsid w:val="0076358B"/>
    <w:rsid w:val="00763AA1"/>
    <w:rsid w:val="007738A6"/>
    <w:rsid w:val="00777538"/>
    <w:rsid w:val="00782DFF"/>
    <w:rsid w:val="00786DE5"/>
    <w:rsid w:val="00793895"/>
    <w:rsid w:val="007A049B"/>
    <w:rsid w:val="007A275F"/>
    <w:rsid w:val="007A376B"/>
    <w:rsid w:val="007A3C46"/>
    <w:rsid w:val="007A60E5"/>
    <w:rsid w:val="007B40FE"/>
    <w:rsid w:val="007C757F"/>
    <w:rsid w:val="007D2ADA"/>
    <w:rsid w:val="007E078D"/>
    <w:rsid w:val="007F0C38"/>
    <w:rsid w:val="007F3C8E"/>
    <w:rsid w:val="00803CDC"/>
    <w:rsid w:val="0080614E"/>
    <w:rsid w:val="0081038C"/>
    <w:rsid w:val="00817C12"/>
    <w:rsid w:val="008316B2"/>
    <w:rsid w:val="00835B72"/>
    <w:rsid w:val="00841116"/>
    <w:rsid w:val="00862AF5"/>
    <w:rsid w:val="00866EDA"/>
    <w:rsid w:val="00867825"/>
    <w:rsid w:val="008712D1"/>
    <w:rsid w:val="00880A95"/>
    <w:rsid w:val="00883F83"/>
    <w:rsid w:val="0088468B"/>
    <w:rsid w:val="00891CA7"/>
    <w:rsid w:val="008959CF"/>
    <w:rsid w:val="008A1F7E"/>
    <w:rsid w:val="008A6710"/>
    <w:rsid w:val="008B0117"/>
    <w:rsid w:val="008B5A03"/>
    <w:rsid w:val="008B70C9"/>
    <w:rsid w:val="008C3564"/>
    <w:rsid w:val="008C43E8"/>
    <w:rsid w:val="008C6AE9"/>
    <w:rsid w:val="008C70B1"/>
    <w:rsid w:val="008D16F1"/>
    <w:rsid w:val="008D502B"/>
    <w:rsid w:val="008E1A2E"/>
    <w:rsid w:val="008E6D64"/>
    <w:rsid w:val="008F06FA"/>
    <w:rsid w:val="008F10EA"/>
    <w:rsid w:val="008F6425"/>
    <w:rsid w:val="00905D23"/>
    <w:rsid w:val="00906D45"/>
    <w:rsid w:val="00913B3D"/>
    <w:rsid w:val="00917907"/>
    <w:rsid w:val="009216E5"/>
    <w:rsid w:val="0094102C"/>
    <w:rsid w:val="0094341C"/>
    <w:rsid w:val="00951A00"/>
    <w:rsid w:val="00953D8E"/>
    <w:rsid w:val="00955ADD"/>
    <w:rsid w:val="00970621"/>
    <w:rsid w:val="00975C28"/>
    <w:rsid w:val="00987C5A"/>
    <w:rsid w:val="00990B91"/>
    <w:rsid w:val="00993E55"/>
    <w:rsid w:val="0099412E"/>
    <w:rsid w:val="00994656"/>
    <w:rsid w:val="00995234"/>
    <w:rsid w:val="00995844"/>
    <w:rsid w:val="009B03A6"/>
    <w:rsid w:val="009B6F50"/>
    <w:rsid w:val="009C5ECB"/>
    <w:rsid w:val="009C733F"/>
    <w:rsid w:val="009D171A"/>
    <w:rsid w:val="009D6221"/>
    <w:rsid w:val="009D7116"/>
    <w:rsid w:val="009E5257"/>
    <w:rsid w:val="009F07C2"/>
    <w:rsid w:val="009F1815"/>
    <w:rsid w:val="009F752B"/>
    <w:rsid w:val="00A048E9"/>
    <w:rsid w:val="00A05F0F"/>
    <w:rsid w:val="00A11AB7"/>
    <w:rsid w:val="00A15133"/>
    <w:rsid w:val="00A31731"/>
    <w:rsid w:val="00A378FD"/>
    <w:rsid w:val="00A40562"/>
    <w:rsid w:val="00A41F62"/>
    <w:rsid w:val="00A42421"/>
    <w:rsid w:val="00A42997"/>
    <w:rsid w:val="00A42A9E"/>
    <w:rsid w:val="00A630CC"/>
    <w:rsid w:val="00A65946"/>
    <w:rsid w:val="00A72073"/>
    <w:rsid w:val="00A72D73"/>
    <w:rsid w:val="00A730D1"/>
    <w:rsid w:val="00A74C96"/>
    <w:rsid w:val="00A75824"/>
    <w:rsid w:val="00A7720F"/>
    <w:rsid w:val="00A813E8"/>
    <w:rsid w:val="00A91881"/>
    <w:rsid w:val="00A972B5"/>
    <w:rsid w:val="00AA18AB"/>
    <w:rsid w:val="00AA1D8D"/>
    <w:rsid w:val="00AB23F1"/>
    <w:rsid w:val="00AB36A5"/>
    <w:rsid w:val="00AC0494"/>
    <w:rsid w:val="00AC2B92"/>
    <w:rsid w:val="00AC364C"/>
    <w:rsid w:val="00AC56C8"/>
    <w:rsid w:val="00AD24D7"/>
    <w:rsid w:val="00AD2FF3"/>
    <w:rsid w:val="00AD352C"/>
    <w:rsid w:val="00AE06B7"/>
    <w:rsid w:val="00AE4D77"/>
    <w:rsid w:val="00AF0C48"/>
    <w:rsid w:val="00AF0E54"/>
    <w:rsid w:val="00B02159"/>
    <w:rsid w:val="00B065D4"/>
    <w:rsid w:val="00B076BC"/>
    <w:rsid w:val="00B105FF"/>
    <w:rsid w:val="00B10EBF"/>
    <w:rsid w:val="00B143F7"/>
    <w:rsid w:val="00B15710"/>
    <w:rsid w:val="00B258DF"/>
    <w:rsid w:val="00B25FDA"/>
    <w:rsid w:val="00B30608"/>
    <w:rsid w:val="00B3503D"/>
    <w:rsid w:val="00B35602"/>
    <w:rsid w:val="00B47730"/>
    <w:rsid w:val="00B54719"/>
    <w:rsid w:val="00B55BC8"/>
    <w:rsid w:val="00B62387"/>
    <w:rsid w:val="00B62978"/>
    <w:rsid w:val="00B63BEF"/>
    <w:rsid w:val="00B70CE3"/>
    <w:rsid w:val="00B7517A"/>
    <w:rsid w:val="00B8260E"/>
    <w:rsid w:val="00B827EF"/>
    <w:rsid w:val="00B85A3A"/>
    <w:rsid w:val="00B874FC"/>
    <w:rsid w:val="00B91428"/>
    <w:rsid w:val="00B93C9A"/>
    <w:rsid w:val="00B941DE"/>
    <w:rsid w:val="00B94C56"/>
    <w:rsid w:val="00B97F49"/>
    <w:rsid w:val="00BA1C32"/>
    <w:rsid w:val="00BA3ABA"/>
    <w:rsid w:val="00BA47AD"/>
    <w:rsid w:val="00BA5B9A"/>
    <w:rsid w:val="00BB0629"/>
    <w:rsid w:val="00BB25C4"/>
    <w:rsid w:val="00BB2A0F"/>
    <w:rsid w:val="00BB6A3F"/>
    <w:rsid w:val="00BB7AEF"/>
    <w:rsid w:val="00BB7C8D"/>
    <w:rsid w:val="00BC533F"/>
    <w:rsid w:val="00BD0EE2"/>
    <w:rsid w:val="00BD19FD"/>
    <w:rsid w:val="00BE01BA"/>
    <w:rsid w:val="00BE0BB9"/>
    <w:rsid w:val="00BE12D1"/>
    <w:rsid w:val="00BE418B"/>
    <w:rsid w:val="00BF5996"/>
    <w:rsid w:val="00C11623"/>
    <w:rsid w:val="00C15467"/>
    <w:rsid w:val="00C21925"/>
    <w:rsid w:val="00C231F0"/>
    <w:rsid w:val="00C27FA8"/>
    <w:rsid w:val="00C42600"/>
    <w:rsid w:val="00C43896"/>
    <w:rsid w:val="00C4579E"/>
    <w:rsid w:val="00C6421D"/>
    <w:rsid w:val="00C65303"/>
    <w:rsid w:val="00C67BC3"/>
    <w:rsid w:val="00C704F5"/>
    <w:rsid w:val="00C711F7"/>
    <w:rsid w:val="00C71DA7"/>
    <w:rsid w:val="00C77A3E"/>
    <w:rsid w:val="00C80E8E"/>
    <w:rsid w:val="00C81792"/>
    <w:rsid w:val="00C83337"/>
    <w:rsid w:val="00C92AD1"/>
    <w:rsid w:val="00CB0664"/>
    <w:rsid w:val="00CB2036"/>
    <w:rsid w:val="00CC33E1"/>
    <w:rsid w:val="00CC4B9E"/>
    <w:rsid w:val="00CD0EFF"/>
    <w:rsid w:val="00CD4077"/>
    <w:rsid w:val="00CE06B3"/>
    <w:rsid w:val="00CE17CC"/>
    <w:rsid w:val="00CE789F"/>
    <w:rsid w:val="00CE79BD"/>
    <w:rsid w:val="00CF4C04"/>
    <w:rsid w:val="00D023C2"/>
    <w:rsid w:val="00D02B2F"/>
    <w:rsid w:val="00D05B70"/>
    <w:rsid w:val="00D11CB7"/>
    <w:rsid w:val="00D14F40"/>
    <w:rsid w:val="00D176CE"/>
    <w:rsid w:val="00D22D94"/>
    <w:rsid w:val="00D23C96"/>
    <w:rsid w:val="00D34FDE"/>
    <w:rsid w:val="00D35C64"/>
    <w:rsid w:val="00D37912"/>
    <w:rsid w:val="00D4256E"/>
    <w:rsid w:val="00D53E72"/>
    <w:rsid w:val="00D55D5F"/>
    <w:rsid w:val="00D66D12"/>
    <w:rsid w:val="00D727FA"/>
    <w:rsid w:val="00D75059"/>
    <w:rsid w:val="00D75D9A"/>
    <w:rsid w:val="00D82DA8"/>
    <w:rsid w:val="00D8302D"/>
    <w:rsid w:val="00D837E1"/>
    <w:rsid w:val="00D864CA"/>
    <w:rsid w:val="00D9091D"/>
    <w:rsid w:val="00D92BFC"/>
    <w:rsid w:val="00D950EC"/>
    <w:rsid w:val="00D959B3"/>
    <w:rsid w:val="00D96AB1"/>
    <w:rsid w:val="00DA0212"/>
    <w:rsid w:val="00DA1A5F"/>
    <w:rsid w:val="00DA7019"/>
    <w:rsid w:val="00DB30D8"/>
    <w:rsid w:val="00DC4E92"/>
    <w:rsid w:val="00DD42F6"/>
    <w:rsid w:val="00DD45F6"/>
    <w:rsid w:val="00DD62A6"/>
    <w:rsid w:val="00DE755D"/>
    <w:rsid w:val="00DF1DDF"/>
    <w:rsid w:val="00DF2AAD"/>
    <w:rsid w:val="00DF5B6B"/>
    <w:rsid w:val="00E03740"/>
    <w:rsid w:val="00E03A4C"/>
    <w:rsid w:val="00E11833"/>
    <w:rsid w:val="00E14A86"/>
    <w:rsid w:val="00E16413"/>
    <w:rsid w:val="00E227F2"/>
    <w:rsid w:val="00E24B70"/>
    <w:rsid w:val="00E26E17"/>
    <w:rsid w:val="00E27E1F"/>
    <w:rsid w:val="00E3266F"/>
    <w:rsid w:val="00E33F6A"/>
    <w:rsid w:val="00E46CC0"/>
    <w:rsid w:val="00E54A85"/>
    <w:rsid w:val="00E5611C"/>
    <w:rsid w:val="00E6459B"/>
    <w:rsid w:val="00E65C9A"/>
    <w:rsid w:val="00E66C3E"/>
    <w:rsid w:val="00E75D1D"/>
    <w:rsid w:val="00E7676B"/>
    <w:rsid w:val="00E814DE"/>
    <w:rsid w:val="00E84BE2"/>
    <w:rsid w:val="00E92A09"/>
    <w:rsid w:val="00EA5D78"/>
    <w:rsid w:val="00EB21D7"/>
    <w:rsid w:val="00EB3F00"/>
    <w:rsid w:val="00EC0D8F"/>
    <w:rsid w:val="00EC2096"/>
    <w:rsid w:val="00EC503B"/>
    <w:rsid w:val="00EC566B"/>
    <w:rsid w:val="00EC5771"/>
    <w:rsid w:val="00EC652B"/>
    <w:rsid w:val="00ED0532"/>
    <w:rsid w:val="00ED16AD"/>
    <w:rsid w:val="00ED39F0"/>
    <w:rsid w:val="00ED3AE9"/>
    <w:rsid w:val="00EE3710"/>
    <w:rsid w:val="00EE4133"/>
    <w:rsid w:val="00EE573B"/>
    <w:rsid w:val="00EF2242"/>
    <w:rsid w:val="00F01E03"/>
    <w:rsid w:val="00F11CC4"/>
    <w:rsid w:val="00F15818"/>
    <w:rsid w:val="00F225BD"/>
    <w:rsid w:val="00F30894"/>
    <w:rsid w:val="00F3313B"/>
    <w:rsid w:val="00F516E7"/>
    <w:rsid w:val="00F54998"/>
    <w:rsid w:val="00F5732A"/>
    <w:rsid w:val="00F607E5"/>
    <w:rsid w:val="00F612E5"/>
    <w:rsid w:val="00F623A9"/>
    <w:rsid w:val="00F6358D"/>
    <w:rsid w:val="00F65897"/>
    <w:rsid w:val="00F70833"/>
    <w:rsid w:val="00F717BF"/>
    <w:rsid w:val="00F7310E"/>
    <w:rsid w:val="00F74946"/>
    <w:rsid w:val="00F75810"/>
    <w:rsid w:val="00F80D57"/>
    <w:rsid w:val="00F818B9"/>
    <w:rsid w:val="00F87F8D"/>
    <w:rsid w:val="00F91816"/>
    <w:rsid w:val="00F9339E"/>
    <w:rsid w:val="00F9392B"/>
    <w:rsid w:val="00FA2E8E"/>
    <w:rsid w:val="00FA3EDF"/>
    <w:rsid w:val="00FA6715"/>
    <w:rsid w:val="00FB04FD"/>
    <w:rsid w:val="00FB0BE0"/>
    <w:rsid w:val="00FB14A4"/>
    <w:rsid w:val="00FB522A"/>
    <w:rsid w:val="00FC16E5"/>
    <w:rsid w:val="00FC1A20"/>
    <w:rsid w:val="00FC2025"/>
    <w:rsid w:val="00FC693F"/>
    <w:rsid w:val="00FD0104"/>
    <w:rsid w:val="00FD1C22"/>
    <w:rsid w:val="00FD33EB"/>
    <w:rsid w:val="00FD40DA"/>
    <w:rsid w:val="00FD548A"/>
    <w:rsid w:val="00FD6F2B"/>
    <w:rsid w:val="00FE1D08"/>
    <w:rsid w:val="00FE34AE"/>
    <w:rsid w:val="00FE715B"/>
    <w:rsid w:val="011176D8"/>
    <w:rsid w:val="0228305A"/>
    <w:rsid w:val="0241CAD7"/>
    <w:rsid w:val="0244CAE4"/>
    <w:rsid w:val="05E5BAA0"/>
    <w:rsid w:val="06509BCA"/>
    <w:rsid w:val="08EB0670"/>
    <w:rsid w:val="0C05749C"/>
    <w:rsid w:val="0E6EF08D"/>
    <w:rsid w:val="0EB92945"/>
    <w:rsid w:val="1241E377"/>
    <w:rsid w:val="12C26D1A"/>
    <w:rsid w:val="12F19975"/>
    <w:rsid w:val="12FFF022"/>
    <w:rsid w:val="15BCE093"/>
    <w:rsid w:val="16E0E482"/>
    <w:rsid w:val="188991E5"/>
    <w:rsid w:val="18E549BE"/>
    <w:rsid w:val="19228768"/>
    <w:rsid w:val="19F54C05"/>
    <w:rsid w:val="1A85D4AA"/>
    <w:rsid w:val="1B0E2894"/>
    <w:rsid w:val="1B801BEB"/>
    <w:rsid w:val="1CAB6982"/>
    <w:rsid w:val="1D7C572A"/>
    <w:rsid w:val="1E555E27"/>
    <w:rsid w:val="20C79064"/>
    <w:rsid w:val="22A3EACB"/>
    <w:rsid w:val="2703B9D6"/>
    <w:rsid w:val="28D736A7"/>
    <w:rsid w:val="2A3455FF"/>
    <w:rsid w:val="2C367D57"/>
    <w:rsid w:val="2F92D12F"/>
    <w:rsid w:val="2F943C24"/>
    <w:rsid w:val="31D59DC6"/>
    <w:rsid w:val="32450541"/>
    <w:rsid w:val="34EFC9E2"/>
    <w:rsid w:val="35D434F3"/>
    <w:rsid w:val="3705E6B3"/>
    <w:rsid w:val="38C49ADD"/>
    <w:rsid w:val="395547B2"/>
    <w:rsid w:val="3A9A7360"/>
    <w:rsid w:val="3AB53434"/>
    <w:rsid w:val="3CB1EBAB"/>
    <w:rsid w:val="3E415EDC"/>
    <w:rsid w:val="3F1CD877"/>
    <w:rsid w:val="3F96C317"/>
    <w:rsid w:val="41704E69"/>
    <w:rsid w:val="440CBF2C"/>
    <w:rsid w:val="45164393"/>
    <w:rsid w:val="45B6232D"/>
    <w:rsid w:val="4658211F"/>
    <w:rsid w:val="47113D87"/>
    <w:rsid w:val="478AEBA6"/>
    <w:rsid w:val="48CBFBB6"/>
    <w:rsid w:val="4BF5CE54"/>
    <w:rsid w:val="4D6DA152"/>
    <w:rsid w:val="505A90CA"/>
    <w:rsid w:val="528C721E"/>
    <w:rsid w:val="5502CF07"/>
    <w:rsid w:val="563920DB"/>
    <w:rsid w:val="56AE0AC0"/>
    <w:rsid w:val="575F19A7"/>
    <w:rsid w:val="5842C1FD"/>
    <w:rsid w:val="5984828E"/>
    <w:rsid w:val="5A2EEA93"/>
    <w:rsid w:val="5B4300D1"/>
    <w:rsid w:val="5EAAB69B"/>
    <w:rsid w:val="5FE5BCC5"/>
    <w:rsid w:val="6031749A"/>
    <w:rsid w:val="615310A3"/>
    <w:rsid w:val="66AEE92B"/>
    <w:rsid w:val="66FD1E07"/>
    <w:rsid w:val="67095EF5"/>
    <w:rsid w:val="6D2DDAFE"/>
    <w:rsid w:val="6D4006F2"/>
    <w:rsid w:val="71428E37"/>
    <w:rsid w:val="71E7287B"/>
    <w:rsid w:val="72C6D52A"/>
    <w:rsid w:val="72DE295C"/>
    <w:rsid w:val="73F2B70B"/>
    <w:rsid w:val="740D9C4E"/>
    <w:rsid w:val="7490E70F"/>
    <w:rsid w:val="7519B568"/>
    <w:rsid w:val="770777FA"/>
    <w:rsid w:val="789B97D9"/>
    <w:rsid w:val="7900ADDF"/>
    <w:rsid w:val="7A80CC07"/>
    <w:rsid w:val="7CC6CE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B58AB1"/>
  <w14:defaultImageDpi w14:val="330"/>
  <w15:docId w15:val="{4F89A0B1-07B8-447B-97DF-D54B4479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3"/>
      </w:numPr>
      <w:contextualSpacing/>
    </w:pPr>
  </w:style>
  <w:style w:type="paragraph" w:styleId="ListBullet2">
    <w:name w:val="List Bullet 2"/>
    <w:basedOn w:val="Normal"/>
    <w:uiPriority w:val="99"/>
    <w:unhideWhenUsed/>
    <w:rsid w:val="00326F90"/>
    <w:pPr>
      <w:numPr>
        <w:numId w:val="4"/>
      </w:numPr>
      <w:contextualSpacing/>
    </w:pPr>
  </w:style>
  <w:style w:type="paragraph" w:styleId="ListBullet3">
    <w:name w:val="List Bullet 3"/>
    <w:basedOn w:val="Normal"/>
    <w:uiPriority w:val="99"/>
    <w:unhideWhenUsed/>
    <w:rsid w:val="00326F90"/>
    <w:pPr>
      <w:numPr>
        <w:numId w:val="5"/>
      </w:numPr>
      <w:contextualSpacing/>
    </w:pPr>
  </w:style>
  <w:style w:type="paragraph" w:styleId="ListNumber">
    <w:name w:val="List Number"/>
    <w:basedOn w:val="Normal"/>
    <w:uiPriority w:val="99"/>
    <w:unhideWhenUsed/>
    <w:rsid w:val="00326F90"/>
    <w:pPr>
      <w:numPr>
        <w:numId w:val="7"/>
      </w:numPr>
      <w:contextualSpacing/>
    </w:pPr>
  </w:style>
  <w:style w:type="paragraph" w:styleId="ListNumber2">
    <w:name w:val="List Number 2"/>
    <w:basedOn w:val="Normal"/>
    <w:uiPriority w:val="99"/>
    <w:unhideWhenUsed/>
    <w:rsid w:val="0029639D"/>
    <w:pPr>
      <w:numPr>
        <w:numId w:val="8"/>
      </w:numPr>
      <w:contextualSpacing/>
    </w:pPr>
  </w:style>
  <w:style w:type="paragraph" w:styleId="ListNumber3">
    <w:name w:val="List Number 3"/>
    <w:basedOn w:val="Normal"/>
    <w:uiPriority w:val="99"/>
    <w:unhideWhenUsed/>
    <w:rsid w:val="0029639D"/>
    <w:pPr>
      <w:numPr>
        <w:numId w:val="9"/>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25DA5"/>
    <w:rPr>
      <w:color w:val="0000FF" w:themeColor="hyperlink"/>
      <w:u w:val="single"/>
    </w:rPr>
  </w:style>
  <w:style w:type="character" w:styleId="UnresolvedMention">
    <w:name w:val="Unresolved Mention"/>
    <w:basedOn w:val="DefaultParagraphFont"/>
    <w:uiPriority w:val="99"/>
    <w:semiHidden/>
    <w:unhideWhenUsed/>
    <w:rsid w:val="00625DA5"/>
    <w:rPr>
      <w:color w:val="605E5C"/>
      <w:shd w:val="clear" w:color="auto" w:fill="E1DFDD"/>
    </w:rPr>
  </w:style>
  <w:style w:type="paragraph" w:styleId="NormalWeb">
    <w:name w:val="Normal (Web)"/>
    <w:basedOn w:val="Normal"/>
    <w:uiPriority w:val="99"/>
    <w:semiHidden/>
    <w:unhideWhenUsed/>
    <w:rsid w:val="00CD0EF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Revision">
    <w:name w:val="Revision"/>
    <w:hidden/>
    <w:uiPriority w:val="99"/>
    <w:semiHidden/>
    <w:rsid w:val="003A35E1"/>
    <w:pPr>
      <w:spacing w:after="0" w:line="240" w:lineRule="auto"/>
    </w:pPr>
  </w:style>
  <w:style w:type="character" w:styleId="CommentReference">
    <w:name w:val="annotation reference"/>
    <w:basedOn w:val="DefaultParagraphFont"/>
    <w:uiPriority w:val="99"/>
    <w:semiHidden/>
    <w:unhideWhenUsed/>
    <w:rsid w:val="005D092B"/>
    <w:rPr>
      <w:sz w:val="16"/>
      <w:szCs w:val="16"/>
    </w:rPr>
  </w:style>
  <w:style w:type="paragraph" w:styleId="CommentText">
    <w:name w:val="annotation text"/>
    <w:basedOn w:val="Normal"/>
    <w:link w:val="CommentTextChar"/>
    <w:uiPriority w:val="99"/>
    <w:unhideWhenUsed/>
    <w:rsid w:val="005D092B"/>
    <w:pPr>
      <w:spacing w:line="240" w:lineRule="auto"/>
    </w:pPr>
    <w:rPr>
      <w:sz w:val="20"/>
      <w:szCs w:val="20"/>
    </w:rPr>
  </w:style>
  <w:style w:type="character" w:customStyle="1" w:styleId="CommentTextChar">
    <w:name w:val="Comment Text Char"/>
    <w:basedOn w:val="DefaultParagraphFont"/>
    <w:link w:val="CommentText"/>
    <w:uiPriority w:val="99"/>
    <w:rsid w:val="005D092B"/>
    <w:rPr>
      <w:sz w:val="20"/>
      <w:szCs w:val="20"/>
    </w:rPr>
  </w:style>
  <w:style w:type="paragraph" w:styleId="CommentSubject">
    <w:name w:val="annotation subject"/>
    <w:basedOn w:val="CommentText"/>
    <w:next w:val="CommentText"/>
    <w:link w:val="CommentSubjectChar"/>
    <w:uiPriority w:val="99"/>
    <w:semiHidden/>
    <w:unhideWhenUsed/>
    <w:rsid w:val="005D092B"/>
    <w:rPr>
      <w:b/>
      <w:bCs/>
    </w:rPr>
  </w:style>
  <w:style w:type="character" w:customStyle="1" w:styleId="CommentSubjectChar">
    <w:name w:val="Comment Subject Char"/>
    <w:basedOn w:val="CommentTextChar"/>
    <w:link w:val="CommentSubject"/>
    <w:uiPriority w:val="99"/>
    <w:semiHidden/>
    <w:rsid w:val="005D092B"/>
    <w:rPr>
      <w:b/>
      <w:bCs/>
      <w:sz w:val="20"/>
      <w:szCs w:val="20"/>
    </w:rPr>
  </w:style>
  <w:style w:type="paragraph" w:styleId="FootnoteText">
    <w:name w:val="footnote text"/>
    <w:basedOn w:val="Normal"/>
    <w:link w:val="FootnoteTextChar"/>
    <w:uiPriority w:val="99"/>
    <w:semiHidden/>
    <w:unhideWhenUsed/>
    <w:rsid w:val="00F74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946"/>
    <w:rPr>
      <w:sz w:val="20"/>
      <w:szCs w:val="20"/>
    </w:rPr>
  </w:style>
  <w:style w:type="character" w:styleId="FootnoteReference">
    <w:name w:val="footnote reference"/>
    <w:basedOn w:val="DefaultParagraphFont"/>
    <w:uiPriority w:val="99"/>
    <w:semiHidden/>
    <w:unhideWhenUsed/>
    <w:rsid w:val="00F74946"/>
    <w:rPr>
      <w:vertAlign w:val="superscript"/>
    </w:rPr>
  </w:style>
  <w:style w:type="character" w:styleId="Mention">
    <w:name w:val="Mention"/>
    <w:basedOn w:val="DefaultParagraphFont"/>
    <w:uiPriority w:val="99"/>
    <w:unhideWhenUsed/>
    <w:rsid w:val="008C6A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9720">
      <w:bodyDiv w:val="1"/>
      <w:marLeft w:val="0"/>
      <w:marRight w:val="0"/>
      <w:marTop w:val="0"/>
      <w:marBottom w:val="0"/>
      <w:divBdr>
        <w:top w:val="none" w:sz="0" w:space="0" w:color="auto"/>
        <w:left w:val="none" w:sz="0" w:space="0" w:color="auto"/>
        <w:bottom w:val="none" w:sz="0" w:space="0" w:color="auto"/>
        <w:right w:val="none" w:sz="0" w:space="0" w:color="auto"/>
      </w:divBdr>
    </w:div>
    <w:div w:id="126557110">
      <w:bodyDiv w:val="1"/>
      <w:marLeft w:val="0"/>
      <w:marRight w:val="0"/>
      <w:marTop w:val="0"/>
      <w:marBottom w:val="0"/>
      <w:divBdr>
        <w:top w:val="none" w:sz="0" w:space="0" w:color="auto"/>
        <w:left w:val="none" w:sz="0" w:space="0" w:color="auto"/>
        <w:bottom w:val="none" w:sz="0" w:space="0" w:color="auto"/>
        <w:right w:val="none" w:sz="0" w:space="0" w:color="auto"/>
      </w:divBdr>
    </w:div>
    <w:div w:id="190001227">
      <w:bodyDiv w:val="1"/>
      <w:marLeft w:val="0"/>
      <w:marRight w:val="0"/>
      <w:marTop w:val="0"/>
      <w:marBottom w:val="0"/>
      <w:divBdr>
        <w:top w:val="none" w:sz="0" w:space="0" w:color="auto"/>
        <w:left w:val="none" w:sz="0" w:space="0" w:color="auto"/>
        <w:bottom w:val="none" w:sz="0" w:space="0" w:color="auto"/>
        <w:right w:val="none" w:sz="0" w:space="0" w:color="auto"/>
      </w:divBdr>
    </w:div>
    <w:div w:id="230235585">
      <w:bodyDiv w:val="1"/>
      <w:marLeft w:val="0"/>
      <w:marRight w:val="0"/>
      <w:marTop w:val="0"/>
      <w:marBottom w:val="0"/>
      <w:divBdr>
        <w:top w:val="none" w:sz="0" w:space="0" w:color="auto"/>
        <w:left w:val="none" w:sz="0" w:space="0" w:color="auto"/>
        <w:bottom w:val="none" w:sz="0" w:space="0" w:color="auto"/>
        <w:right w:val="none" w:sz="0" w:space="0" w:color="auto"/>
      </w:divBdr>
    </w:div>
    <w:div w:id="357509525">
      <w:bodyDiv w:val="1"/>
      <w:marLeft w:val="0"/>
      <w:marRight w:val="0"/>
      <w:marTop w:val="0"/>
      <w:marBottom w:val="0"/>
      <w:divBdr>
        <w:top w:val="none" w:sz="0" w:space="0" w:color="auto"/>
        <w:left w:val="none" w:sz="0" w:space="0" w:color="auto"/>
        <w:bottom w:val="none" w:sz="0" w:space="0" w:color="auto"/>
        <w:right w:val="none" w:sz="0" w:space="0" w:color="auto"/>
      </w:divBdr>
    </w:div>
    <w:div w:id="520627859">
      <w:bodyDiv w:val="1"/>
      <w:marLeft w:val="0"/>
      <w:marRight w:val="0"/>
      <w:marTop w:val="0"/>
      <w:marBottom w:val="0"/>
      <w:divBdr>
        <w:top w:val="none" w:sz="0" w:space="0" w:color="auto"/>
        <w:left w:val="none" w:sz="0" w:space="0" w:color="auto"/>
        <w:bottom w:val="none" w:sz="0" w:space="0" w:color="auto"/>
        <w:right w:val="none" w:sz="0" w:space="0" w:color="auto"/>
      </w:divBdr>
    </w:div>
    <w:div w:id="650409543">
      <w:bodyDiv w:val="1"/>
      <w:marLeft w:val="0"/>
      <w:marRight w:val="0"/>
      <w:marTop w:val="0"/>
      <w:marBottom w:val="0"/>
      <w:divBdr>
        <w:top w:val="none" w:sz="0" w:space="0" w:color="auto"/>
        <w:left w:val="none" w:sz="0" w:space="0" w:color="auto"/>
        <w:bottom w:val="none" w:sz="0" w:space="0" w:color="auto"/>
        <w:right w:val="none" w:sz="0" w:space="0" w:color="auto"/>
      </w:divBdr>
    </w:div>
    <w:div w:id="681589070">
      <w:bodyDiv w:val="1"/>
      <w:marLeft w:val="0"/>
      <w:marRight w:val="0"/>
      <w:marTop w:val="0"/>
      <w:marBottom w:val="0"/>
      <w:divBdr>
        <w:top w:val="none" w:sz="0" w:space="0" w:color="auto"/>
        <w:left w:val="none" w:sz="0" w:space="0" w:color="auto"/>
        <w:bottom w:val="none" w:sz="0" w:space="0" w:color="auto"/>
        <w:right w:val="none" w:sz="0" w:space="0" w:color="auto"/>
      </w:divBdr>
    </w:div>
    <w:div w:id="815411483">
      <w:bodyDiv w:val="1"/>
      <w:marLeft w:val="0"/>
      <w:marRight w:val="0"/>
      <w:marTop w:val="0"/>
      <w:marBottom w:val="0"/>
      <w:divBdr>
        <w:top w:val="none" w:sz="0" w:space="0" w:color="auto"/>
        <w:left w:val="none" w:sz="0" w:space="0" w:color="auto"/>
        <w:bottom w:val="none" w:sz="0" w:space="0" w:color="auto"/>
        <w:right w:val="none" w:sz="0" w:space="0" w:color="auto"/>
      </w:divBdr>
    </w:div>
    <w:div w:id="1089930945">
      <w:bodyDiv w:val="1"/>
      <w:marLeft w:val="0"/>
      <w:marRight w:val="0"/>
      <w:marTop w:val="0"/>
      <w:marBottom w:val="0"/>
      <w:divBdr>
        <w:top w:val="none" w:sz="0" w:space="0" w:color="auto"/>
        <w:left w:val="none" w:sz="0" w:space="0" w:color="auto"/>
        <w:bottom w:val="none" w:sz="0" w:space="0" w:color="auto"/>
        <w:right w:val="none" w:sz="0" w:space="0" w:color="auto"/>
      </w:divBdr>
    </w:div>
    <w:div w:id="1160273089">
      <w:bodyDiv w:val="1"/>
      <w:marLeft w:val="0"/>
      <w:marRight w:val="0"/>
      <w:marTop w:val="0"/>
      <w:marBottom w:val="0"/>
      <w:divBdr>
        <w:top w:val="none" w:sz="0" w:space="0" w:color="auto"/>
        <w:left w:val="none" w:sz="0" w:space="0" w:color="auto"/>
        <w:bottom w:val="none" w:sz="0" w:space="0" w:color="auto"/>
        <w:right w:val="none" w:sz="0" w:space="0" w:color="auto"/>
      </w:divBdr>
    </w:div>
    <w:div w:id="1257011014">
      <w:bodyDiv w:val="1"/>
      <w:marLeft w:val="0"/>
      <w:marRight w:val="0"/>
      <w:marTop w:val="0"/>
      <w:marBottom w:val="0"/>
      <w:divBdr>
        <w:top w:val="none" w:sz="0" w:space="0" w:color="auto"/>
        <w:left w:val="none" w:sz="0" w:space="0" w:color="auto"/>
        <w:bottom w:val="none" w:sz="0" w:space="0" w:color="auto"/>
        <w:right w:val="none" w:sz="0" w:space="0" w:color="auto"/>
      </w:divBdr>
    </w:div>
    <w:div w:id="1325283134">
      <w:bodyDiv w:val="1"/>
      <w:marLeft w:val="0"/>
      <w:marRight w:val="0"/>
      <w:marTop w:val="0"/>
      <w:marBottom w:val="0"/>
      <w:divBdr>
        <w:top w:val="none" w:sz="0" w:space="0" w:color="auto"/>
        <w:left w:val="none" w:sz="0" w:space="0" w:color="auto"/>
        <w:bottom w:val="none" w:sz="0" w:space="0" w:color="auto"/>
        <w:right w:val="none" w:sz="0" w:space="0" w:color="auto"/>
      </w:divBdr>
    </w:div>
    <w:div w:id="1404330875">
      <w:bodyDiv w:val="1"/>
      <w:marLeft w:val="0"/>
      <w:marRight w:val="0"/>
      <w:marTop w:val="0"/>
      <w:marBottom w:val="0"/>
      <w:divBdr>
        <w:top w:val="none" w:sz="0" w:space="0" w:color="auto"/>
        <w:left w:val="none" w:sz="0" w:space="0" w:color="auto"/>
        <w:bottom w:val="none" w:sz="0" w:space="0" w:color="auto"/>
        <w:right w:val="none" w:sz="0" w:space="0" w:color="auto"/>
      </w:divBdr>
    </w:div>
    <w:div w:id="1426533745">
      <w:bodyDiv w:val="1"/>
      <w:marLeft w:val="0"/>
      <w:marRight w:val="0"/>
      <w:marTop w:val="0"/>
      <w:marBottom w:val="0"/>
      <w:divBdr>
        <w:top w:val="none" w:sz="0" w:space="0" w:color="auto"/>
        <w:left w:val="none" w:sz="0" w:space="0" w:color="auto"/>
        <w:bottom w:val="none" w:sz="0" w:space="0" w:color="auto"/>
        <w:right w:val="none" w:sz="0" w:space="0" w:color="auto"/>
      </w:divBdr>
    </w:div>
    <w:div w:id="1495225127">
      <w:bodyDiv w:val="1"/>
      <w:marLeft w:val="0"/>
      <w:marRight w:val="0"/>
      <w:marTop w:val="0"/>
      <w:marBottom w:val="0"/>
      <w:divBdr>
        <w:top w:val="none" w:sz="0" w:space="0" w:color="auto"/>
        <w:left w:val="none" w:sz="0" w:space="0" w:color="auto"/>
        <w:bottom w:val="none" w:sz="0" w:space="0" w:color="auto"/>
        <w:right w:val="none" w:sz="0" w:space="0" w:color="auto"/>
      </w:divBdr>
    </w:div>
    <w:div w:id="1532954005">
      <w:bodyDiv w:val="1"/>
      <w:marLeft w:val="0"/>
      <w:marRight w:val="0"/>
      <w:marTop w:val="0"/>
      <w:marBottom w:val="0"/>
      <w:divBdr>
        <w:top w:val="none" w:sz="0" w:space="0" w:color="auto"/>
        <w:left w:val="none" w:sz="0" w:space="0" w:color="auto"/>
        <w:bottom w:val="none" w:sz="0" w:space="0" w:color="auto"/>
        <w:right w:val="none" w:sz="0" w:space="0" w:color="auto"/>
      </w:divBdr>
    </w:div>
    <w:div w:id="1679036543">
      <w:bodyDiv w:val="1"/>
      <w:marLeft w:val="0"/>
      <w:marRight w:val="0"/>
      <w:marTop w:val="0"/>
      <w:marBottom w:val="0"/>
      <w:divBdr>
        <w:top w:val="none" w:sz="0" w:space="0" w:color="auto"/>
        <w:left w:val="none" w:sz="0" w:space="0" w:color="auto"/>
        <w:bottom w:val="none" w:sz="0" w:space="0" w:color="auto"/>
        <w:right w:val="none" w:sz="0" w:space="0" w:color="auto"/>
      </w:divBdr>
    </w:div>
    <w:div w:id="1708875642">
      <w:bodyDiv w:val="1"/>
      <w:marLeft w:val="0"/>
      <w:marRight w:val="0"/>
      <w:marTop w:val="0"/>
      <w:marBottom w:val="0"/>
      <w:divBdr>
        <w:top w:val="none" w:sz="0" w:space="0" w:color="auto"/>
        <w:left w:val="none" w:sz="0" w:space="0" w:color="auto"/>
        <w:bottom w:val="none" w:sz="0" w:space="0" w:color="auto"/>
        <w:right w:val="none" w:sz="0" w:space="0" w:color="auto"/>
      </w:divBdr>
    </w:div>
    <w:div w:id="2045059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cc53fc-763e-4d4a-9201-ba479f7b166e">
      <Terms xmlns="http://schemas.microsoft.com/office/infopath/2007/PartnerControls"/>
    </lcf76f155ced4ddcb4097134ff3c332f>
    <File_x0020_Title xmlns="01cc53fc-763e-4d4a-9201-ba479f7b166e" xsi:nil="true"/>
    <Date xmlns="01cc53fc-763e-4d4a-9201-ba479f7b166e" xsi:nil="true"/>
    <Focus xmlns="01cc53fc-763e-4d4a-9201-ba479f7b166e" xsi:nil="true"/>
    <ID_x0020_Document xmlns="01cc53fc-763e-4d4a-9201-ba479f7b166e" xsi:nil="true"/>
    <TaxCatchAll xmlns="b1368d02-5d76-43a1-9bfb-4d3c1957aa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8E09711A9F284D8D374330A9B394BF" ma:contentTypeVersion="22" ma:contentTypeDescription="Create a new document." ma:contentTypeScope="" ma:versionID="dfd859cd26199036f31f3faf15ab0a58">
  <xsd:schema xmlns:xsd="http://www.w3.org/2001/XMLSchema" xmlns:xs="http://www.w3.org/2001/XMLSchema" xmlns:p="http://schemas.microsoft.com/office/2006/metadata/properties" xmlns:ns2="b1368d02-5d76-43a1-9bfb-4d3c1957aa4d" xmlns:ns3="01cc53fc-763e-4d4a-9201-ba479f7b166e" targetNamespace="http://schemas.microsoft.com/office/2006/metadata/properties" ma:root="true" ma:fieldsID="5e0fe7ceaa9417f8045c7dd1033e4a48" ns2:_="" ns3:_="">
    <xsd:import namespace="b1368d02-5d76-43a1-9bfb-4d3c1957aa4d"/>
    <xsd:import namespace="01cc53fc-763e-4d4a-9201-ba479f7b166e"/>
    <xsd:element name="properties">
      <xsd:complexType>
        <xsd:sequence>
          <xsd:element name="documentManagement">
            <xsd:complexType>
              <xsd:all>
                <xsd:element ref="ns2:SharedWithUsers" minOccurs="0"/>
                <xsd:element ref="ns2:SharingHintHash" minOccurs="0"/>
                <xsd:element ref="ns2:SharedWithDetails" minOccurs="0"/>
                <xsd:element ref="ns3:File_x0020_Title" minOccurs="0"/>
                <xsd:element ref="ns3:Date" minOccurs="0"/>
                <xsd:element ref="ns3:ID_x0020_Document" minOccurs="0"/>
                <xsd:element ref="ns3:Focu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68d02-5d76-43a1-9bfb-4d3c1957aa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5016defe-1b6e-4442-b526-da239ef19ed3}" ma:internalName="TaxCatchAll" ma:showField="CatchAllData" ma:web="b1368d02-5d76-43a1-9bfb-4d3c1957aa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cc53fc-763e-4d4a-9201-ba479f7b166e" elementFormDefault="qualified">
    <xsd:import namespace="http://schemas.microsoft.com/office/2006/documentManagement/types"/>
    <xsd:import namespace="http://schemas.microsoft.com/office/infopath/2007/PartnerControls"/>
    <xsd:element name="File_x0020_Title" ma:index="11" nillable="true" ma:displayName="File Title" ma:internalName="File_x0020_Title">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ID_x0020_Document" ma:index="13" nillable="true" ma:displayName="ID Document" ma:internalName="ID_x0020_Document">
      <xsd:simpleType>
        <xsd:restriction base="dms:Text"/>
      </xsd:simpleType>
    </xsd:element>
    <xsd:element name="Focus" ma:index="14" nillable="true" ma:displayName="Focus" ma:internalName="Focus">
      <xsd:simpleType>
        <xsd:restriction base="dms:Text"/>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7309b44-9faa-4672-86c8-75ba583e4e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301F5-082D-4D21-8613-29C1FD7BA079}">
  <ds:schemaRefs>
    <ds:schemaRef ds:uri="http://schemas.microsoft.com/sharepoint/v3/contenttype/form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9CDFDB76-D2C1-4679-B438-E4C501758B0C}">
  <ds:schemaRefs>
    <ds:schemaRef ds:uri="http://schemas.microsoft.com/office/2006/metadata/properties"/>
    <ds:schemaRef ds:uri="http://schemas.microsoft.com/office/infopath/2007/PartnerControls"/>
    <ds:schemaRef ds:uri="01cc53fc-763e-4d4a-9201-ba479f7b166e"/>
    <ds:schemaRef ds:uri="b1368d02-5d76-43a1-9bfb-4d3c1957aa4d"/>
  </ds:schemaRefs>
</ds:datastoreItem>
</file>

<file path=customXml/itemProps4.xml><?xml version="1.0" encoding="utf-8"?>
<ds:datastoreItem xmlns:ds="http://schemas.openxmlformats.org/officeDocument/2006/customXml" ds:itemID="{089DD4F8-D256-4A25-A4A0-D629B3F19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68d02-5d76-43a1-9bfb-4d3c1957aa4d"/>
    <ds:schemaRef ds:uri="01cc53fc-763e-4d4a-9201-ba479f7b1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9619fd-75dc-48cb-820d-8f683a95dd8b}" enabled="1" method="Privileged" siteId="{05c95b33-90ca-49d5-b644-288b930b912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8379</Words>
  <Characters>47765</Characters>
  <Application>Microsoft Office Word</Application>
  <DocSecurity>0</DocSecurity>
  <Lines>398</Lines>
  <Paragraphs>112</Paragraphs>
  <ScaleCrop>false</ScaleCrop>
  <Company/>
  <LinksUpToDate>false</LinksUpToDate>
  <CharactersWithSpaces>56032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Lamirande, Brigitte</cp:lastModifiedBy>
  <cp:revision>2</cp:revision>
  <dcterms:created xsi:type="dcterms:W3CDTF">2025-03-17T18:14:00Z</dcterms:created>
  <dcterms:modified xsi:type="dcterms:W3CDTF">2025-03-17T18:14:00Z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68d916a3,39d6e35c,3b4f4319</vt:lpwstr>
  </property>
  <property fmtid="{D5CDD505-2E9C-101B-9397-08002B2CF9AE}" pid="4" name="ClassificationContentMarkingHeaderText">
    <vt:lpwstr>UNCLASSIFIED - NON CLASSIFIÉ</vt:lpwstr>
  </property>
  <property fmtid="{D5CDD505-2E9C-101B-9397-08002B2CF9AE}" pid="5" name="ContentTypeId">
    <vt:lpwstr>0x010100668E09711A9F284D8D374330A9B394BF</vt:lpwstr>
  </property>
  <property fmtid="{D5CDD505-2E9C-101B-9397-08002B2CF9AE}" pid="6" name="MediaServiceImageTags">
    <vt:lpwstr/>
  </property>
  <property fmtid="{D5CDD505-2E9C-101B-9397-08002B2CF9AE}" pid="7" name="MSIP_Label_834ed4f5-eae4-40c7-82be-b1cdf720a1b9_ActionId">
    <vt:lpwstr>4b0fbfaa-d193-42e9-bd99-b6a6fe4bdce5</vt:lpwstr>
  </property>
  <property fmtid="{D5CDD505-2E9C-101B-9397-08002B2CF9AE}" pid="8" name="MSIP_Label_834ed4f5-eae4-40c7-82be-b1cdf720a1b9_ContentBits">
    <vt:lpwstr>0</vt:lpwstr>
  </property>
  <property fmtid="{D5CDD505-2E9C-101B-9397-08002B2CF9AE}" pid="9" name="MSIP_Label_834ed4f5-eae4-40c7-82be-b1cdf720a1b9_Enabled">
    <vt:lpwstr>true</vt:lpwstr>
  </property>
  <property fmtid="{D5CDD505-2E9C-101B-9397-08002B2CF9AE}" pid="10" name="MSIP_Label_834ed4f5-eae4-40c7-82be-b1cdf720a1b9_Method">
    <vt:lpwstr>Standard</vt:lpwstr>
  </property>
  <property fmtid="{D5CDD505-2E9C-101B-9397-08002B2CF9AE}" pid="11" name="MSIP_Label_834ed4f5-eae4-40c7-82be-b1cdf720a1b9_Name">
    <vt:lpwstr>Unclassified - Non classifié</vt:lpwstr>
  </property>
  <property fmtid="{D5CDD505-2E9C-101B-9397-08002B2CF9AE}" pid="12" name="MSIP_Label_834ed4f5-eae4-40c7-82be-b1cdf720a1b9_SetDate">
    <vt:lpwstr>2025-01-30T14:53:29Z</vt:lpwstr>
  </property>
  <property fmtid="{D5CDD505-2E9C-101B-9397-08002B2CF9AE}" pid="13" name="MSIP_Label_834ed4f5-eae4-40c7-82be-b1cdf720a1b9_SiteId">
    <vt:lpwstr>e0d54a3c-7bbe-4a64-9d46-f9f84a41c833</vt:lpwstr>
  </property>
</Properties>
</file>